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FD55C">
      <w:pPr>
        <w:kinsoku w:val="0"/>
        <w:overflowPunct w:val="0"/>
        <w:autoSpaceDE w:val="0"/>
        <w:autoSpaceDN w:val="0"/>
        <w:spacing w:before="100" w:beforeAutospacing="1" w:after="100" w:afterAutospacing="1"/>
        <w:jc w:val="center"/>
        <w:rPr>
          <w:rFonts w:ascii="宋体" w:hAnsi="宋体"/>
          <w:b/>
          <w:bCs/>
          <w:sz w:val="48"/>
          <w:szCs w:val="48"/>
        </w:rPr>
      </w:pPr>
      <w:bookmarkStart w:id="3" w:name="_GoBack"/>
      <w:bookmarkEnd w:id="3"/>
      <w:r>
        <w:rPr>
          <w:rFonts w:hint="eastAsia" w:ascii="宋体" w:hAnsi="宋体"/>
          <w:b/>
          <w:bCs/>
          <w:sz w:val="48"/>
          <w:szCs w:val="48"/>
        </w:rPr>
        <w:t>温控管理系统物联网卡续费服务</w:t>
      </w:r>
    </w:p>
    <w:p w14:paraId="72071307">
      <w:pPr>
        <w:pStyle w:val="27"/>
        <w:numPr>
          <w:ilvl w:val="0"/>
          <w:numId w:val="2"/>
        </w:numPr>
        <w:ind w:firstLineChars="0"/>
        <w:outlineLvl w:val="1"/>
        <w:rPr>
          <w:rFonts w:hint="eastAsia" w:ascii="宋体" w:hAnsi="宋体" w:cs="宋体"/>
          <w:b/>
          <w:bCs/>
          <w:color w:val="000000"/>
          <w:kern w:val="0"/>
          <w:sz w:val="28"/>
          <w:szCs w:val="28"/>
        </w:rPr>
      </w:pPr>
      <w:bookmarkStart w:id="0" w:name="_Toc120739795"/>
      <w:r>
        <w:rPr>
          <w:rFonts w:hint="eastAsia" w:ascii="宋体" w:hAnsi="宋体" w:cs="宋体"/>
          <w:b/>
          <w:bCs/>
          <w:color w:val="000000"/>
          <w:kern w:val="0"/>
          <w:sz w:val="28"/>
          <w:szCs w:val="28"/>
        </w:rPr>
        <w:t>采购</w:t>
      </w:r>
      <w:bookmarkEnd w:id="0"/>
      <w:r>
        <w:rPr>
          <w:rFonts w:hint="eastAsia" w:ascii="宋体" w:hAnsi="宋体" w:cs="宋体"/>
          <w:b/>
          <w:bCs/>
          <w:color w:val="000000"/>
          <w:kern w:val="0"/>
          <w:sz w:val="28"/>
          <w:szCs w:val="28"/>
        </w:rPr>
        <w:t>内容</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8"/>
        <w:gridCol w:w="850"/>
        <w:gridCol w:w="2296"/>
        <w:gridCol w:w="1598"/>
      </w:tblGrid>
      <w:tr w14:paraId="24E6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188" w:type="dxa"/>
            <w:vAlign w:val="center"/>
          </w:tcPr>
          <w:p w14:paraId="4C767ECC">
            <w:pPr>
              <w:jc w:val="center"/>
              <w:rPr>
                <w:rFonts w:hint="eastAsia" w:ascii="仿宋" w:hAnsi="仿宋" w:eastAsia="仿宋" w:cs="仿宋"/>
                <w:b/>
                <w:szCs w:val="21"/>
              </w:rPr>
            </w:pPr>
            <w:r>
              <w:rPr>
                <w:rFonts w:hint="eastAsia" w:ascii="仿宋" w:hAnsi="仿宋" w:eastAsia="仿宋" w:cs="仿宋"/>
                <w:b/>
                <w:szCs w:val="21"/>
              </w:rPr>
              <w:t>标的名称</w:t>
            </w:r>
          </w:p>
        </w:tc>
        <w:tc>
          <w:tcPr>
            <w:tcW w:w="850" w:type="dxa"/>
            <w:vAlign w:val="center"/>
          </w:tcPr>
          <w:p w14:paraId="67132CF6">
            <w:pPr>
              <w:jc w:val="center"/>
              <w:rPr>
                <w:rFonts w:hint="eastAsia" w:ascii="仿宋" w:hAnsi="仿宋" w:eastAsia="仿宋" w:cs="仿宋"/>
                <w:b/>
                <w:szCs w:val="21"/>
              </w:rPr>
            </w:pPr>
            <w:r>
              <w:rPr>
                <w:rFonts w:hint="eastAsia" w:ascii="仿宋" w:hAnsi="仿宋" w:eastAsia="仿宋" w:cs="仿宋"/>
                <w:b/>
                <w:szCs w:val="21"/>
              </w:rPr>
              <w:t>数量</w:t>
            </w:r>
          </w:p>
        </w:tc>
        <w:tc>
          <w:tcPr>
            <w:tcW w:w="2296" w:type="dxa"/>
            <w:vAlign w:val="center"/>
          </w:tcPr>
          <w:p w14:paraId="4BADC306">
            <w:pPr>
              <w:jc w:val="center"/>
              <w:rPr>
                <w:rFonts w:hint="eastAsia" w:ascii="仿宋" w:hAnsi="仿宋" w:eastAsia="仿宋" w:cs="仿宋"/>
                <w:b/>
                <w:szCs w:val="21"/>
              </w:rPr>
            </w:pPr>
            <w:r>
              <w:rPr>
                <w:rFonts w:hint="eastAsia" w:ascii="仿宋" w:hAnsi="仿宋" w:eastAsia="仿宋" w:cs="仿宋"/>
                <w:b/>
                <w:szCs w:val="21"/>
              </w:rPr>
              <w:t>最高限价（元）</w:t>
            </w:r>
          </w:p>
        </w:tc>
        <w:tc>
          <w:tcPr>
            <w:tcW w:w="1598" w:type="dxa"/>
            <w:vAlign w:val="center"/>
          </w:tcPr>
          <w:p w14:paraId="29628F41">
            <w:pPr>
              <w:jc w:val="center"/>
              <w:rPr>
                <w:rFonts w:hint="eastAsia" w:ascii="仿宋" w:hAnsi="仿宋" w:eastAsia="仿宋" w:cs="仿宋"/>
                <w:b/>
                <w:szCs w:val="21"/>
              </w:rPr>
            </w:pPr>
            <w:r>
              <w:rPr>
                <w:rFonts w:hint="eastAsia" w:ascii="仿宋" w:hAnsi="仿宋" w:eastAsia="仿宋" w:cs="仿宋"/>
                <w:b/>
                <w:szCs w:val="21"/>
              </w:rPr>
              <w:t>标的类型</w:t>
            </w:r>
          </w:p>
        </w:tc>
      </w:tr>
      <w:tr w14:paraId="3BE7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188" w:type="dxa"/>
            <w:vAlign w:val="center"/>
          </w:tcPr>
          <w:p w14:paraId="11B32EC6">
            <w:pPr>
              <w:jc w:val="center"/>
              <w:rPr>
                <w:rFonts w:hint="default" w:ascii="仿宋" w:hAnsi="仿宋" w:eastAsia="仿宋" w:cs="仿宋"/>
                <w:bCs/>
                <w:szCs w:val="21"/>
                <w:lang w:val="en-US" w:eastAsia="zh-CN"/>
              </w:rPr>
            </w:pPr>
            <w:r>
              <w:rPr>
                <w:rFonts w:hint="eastAsia" w:ascii="仿宋" w:hAnsi="仿宋" w:eastAsia="仿宋" w:cs="仿宋"/>
                <w:bCs/>
                <w:szCs w:val="21"/>
                <w:lang w:eastAsia="zh-CN"/>
              </w:rPr>
              <w:t>温控管理系统物联网卡续费服务</w:t>
            </w:r>
          </w:p>
        </w:tc>
        <w:tc>
          <w:tcPr>
            <w:tcW w:w="850" w:type="dxa"/>
            <w:vAlign w:val="center"/>
          </w:tcPr>
          <w:p w14:paraId="2C056EAC">
            <w:pPr>
              <w:jc w:val="center"/>
              <w:rPr>
                <w:rFonts w:ascii="仿宋" w:hAnsi="仿宋" w:eastAsia="仿宋" w:cs="仿宋"/>
                <w:bCs/>
                <w:szCs w:val="21"/>
              </w:rPr>
            </w:pPr>
            <w:r>
              <w:rPr>
                <w:rFonts w:hint="eastAsia" w:ascii="仿宋" w:hAnsi="仿宋" w:eastAsia="仿宋" w:cs="仿宋"/>
                <w:bCs/>
                <w:szCs w:val="21"/>
              </w:rPr>
              <w:t>1批</w:t>
            </w:r>
          </w:p>
        </w:tc>
        <w:tc>
          <w:tcPr>
            <w:tcW w:w="2296" w:type="dxa"/>
            <w:vAlign w:val="center"/>
          </w:tcPr>
          <w:p w14:paraId="02CC1F9B">
            <w:pPr>
              <w:jc w:val="center"/>
              <w:rPr>
                <w:rFonts w:hint="eastAsia" w:ascii="仿宋" w:hAnsi="仿宋" w:eastAsia="仿宋" w:cs="仿宋"/>
                <w:bCs/>
                <w:szCs w:val="21"/>
              </w:rPr>
            </w:pPr>
            <w:r>
              <w:rPr>
                <w:rFonts w:hint="eastAsia" w:ascii="仿宋" w:hAnsi="仿宋" w:eastAsia="仿宋" w:cs="仿宋"/>
                <w:bCs/>
                <w:szCs w:val="21"/>
              </w:rPr>
              <w:t>￥</w:t>
            </w:r>
            <w:r>
              <w:rPr>
                <w:rFonts w:hint="eastAsia" w:ascii="仿宋" w:hAnsi="仿宋" w:eastAsia="仿宋" w:cs="仿宋"/>
                <w:bCs/>
                <w:szCs w:val="21"/>
                <w:lang w:val="en-US" w:eastAsia="zh-CN"/>
              </w:rPr>
              <w:t>18850</w:t>
            </w:r>
            <w:r>
              <w:rPr>
                <w:rFonts w:hint="eastAsia" w:ascii="仿宋" w:hAnsi="仿宋" w:eastAsia="仿宋" w:cs="仿宋"/>
                <w:bCs/>
                <w:szCs w:val="21"/>
              </w:rPr>
              <w:t>.00</w:t>
            </w:r>
          </w:p>
        </w:tc>
        <w:tc>
          <w:tcPr>
            <w:tcW w:w="1598" w:type="dxa"/>
            <w:vAlign w:val="center"/>
          </w:tcPr>
          <w:p w14:paraId="585ED107">
            <w:pPr>
              <w:jc w:val="center"/>
              <w:rPr>
                <w:rFonts w:ascii="仿宋" w:hAnsi="仿宋" w:eastAsia="仿宋" w:cs="仿宋"/>
                <w:bCs/>
                <w:szCs w:val="21"/>
              </w:rPr>
            </w:pPr>
            <w:r>
              <w:rPr>
                <w:rFonts w:hint="eastAsia" w:ascii="仿宋" w:hAnsi="仿宋" w:eastAsia="仿宋" w:cs="仿宋"/>
                <w:bCs/>
                <w:szCs w:val="21"/>
                <w:lang w:val="en-US" w:eastAsia="zh-CN"/>
              </w:rPr>
              <w:t>服务</w:t>
            </w:r>
            <w:r>
              <w:rPr>
                <w:rFonts w:hint="eastAsia" w:ascii="仿宋" w:hAnsi="仿宋" w:eastAsia="仿宋" w:cs="仿宋"/>
                <w:bCs/>
                <w:szCs w:val="21"/>
              </w:rPr>
              <w:t>类</w:t>
            </w:r>
          </w:p>
        </w:tc>
      </w:tr>
    </w:tbl>
    <w:p w14:paraId="0FEE6676">
      <w:pPr>
        <w:pStyle w:val="11"/>
        <w:rPr>
          <w:rFonts w:hint="eastAsia"/>
          <w:lang w:eastAsia="zh-CN"/>
        </w:rPr>
      </w:pPr>
    </w:p>
    <w:p w14:paraId="2505B411">
      <w:pPr>
        <w:pStyle w:val="27"/>
        <w:numPr>
          <w:ilvl w:val="0"/>
          <w:numId w:val="2"/>
        </w:numPr>
        <w:ind w:firstLineChars="0"/>
        <w:outlineLvl w:val="1"/>
        <w:rPr>
          <w:rFonts w:ascii="宋体" w:hAnsi="宋体" w:cs="宋体"/>
          <w:b/>
          <w:bCs/>
          <w:color w:val="000000"/>
          <w:kern w:val="0"/>
          <w:sz w:val="28"/>
          <w:szCs w:val="28"/>
        </w:rPr>
      </w:pPr>
      <w:r>
        <w:rPr>
          <w:rFonts w:hint="eastAsia" w:ascii="宋体" w:hAnsi="宋体" w:cs="宋体"/>
          <w:b/>
          <w:bCs/>
          <w:color w:val="000000"/>
          <w:kern w:val="0"/>
          <w:sz w:val="28"/>
          <w:szCs w:val="28"/>
        </w:rPr>
        <w:t>采购清单及技术要求</w:t>
      </w: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0"/>
        <w:gridCol w:w="1284"/>
        <w:gridCol w:w="5575"/>
        <w:gridCol w:w="1073"/>
      </w:tblGrid>
      <w:tr w14:paraId="57D3B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90" w:type="dxa"/>
            <w:noWrap/>
          </w:tcPr>
          <w:p w14:paraId="3AA26754">
            <w:pPr>
              <w:rPr>
                <w:b/>
                <w:bCs/>
              </w:rPr>
            </w:pPr>
            <w:r>
              <w:rPr>
                <w:rFonts w:hint="eastAsia"/>
                <w:b/>
                <w:bCs/>
              </w:rPr>
              <w:t>序号</w:t>
            </w:r>
          </w:p>
        </w:tc>
        <w:tc>
          <w:tcPr>
            <w:tcW w:w="1284" w:type="dxa"/>
            <w:noWrap/>
          </w:tcPr>
          <w:p w14:paraId="0785C66A">
            <w:pPr>
              <w:rPr>
                <w:b/>
                <w:bCs/>
              </w:rPr>
            </w:pPr>
            <w:r>
              <w:rPr>
                <w:rFonts w:hint="eastAsia"/>
                <w:b/>
                <w:bCs/>
              </w:rPr>
              <w:t>名称</w:t>
            </w:r>
          </w:p>
        </w:tc>
        <w:tc>
          <w:tcPr>
            <w:tcW w:w="5575" w:type="dxa"/>
          </w:tcPr>
          <w:p w14:paraId="484DD45B">
            <w:pPr>
              <w:rPr>
                <w:b/>
                <w:bCs/>
              </w:rPr>
            </w:pPr>
            <w:r>
              <w:rPr>
                <w:rFonts w:hint="eastAsia"/>
                <w:b/>
                <w:bCs/>
              </w:rPr>
              <w:t>主要技术参数</w:t>
            </w:r>
          </w:p>
        </w:tc>
        <w:tc>
          <w:tcPr>
            <w:tcW w:w="1073" w:type="dxa"/>
            <w:noWrap/>
          </w:tcPr>
          <w:p w14:paraId="634ECB98">
            <w:pPr>
              <w:rPr>
                <w:b/>
                <w:bCs/>
              </w:rPr>
            </w:pPr>
            <w:r>
              <w:rPr>
                <w:rFonts w:hint="eastAsia"/>
                <w:b/>
                <w:bCs/>
              </w:rPr>
              <w:t>数量</w:t>
            </w:r>
          </w:p>
        </w:tc>
      </w:tr>
      <w:tr w14:paraId="24F8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7" w:hRule="atLeast"/>
        </w:trPr>
        <w:tc>
          <w:tcPr>
            <w:tcW w:w="590" w:type="dxa"/>
            <w:noWrap/>
          </w:tcPr>
          <w:p w14:paraId="4E7502ED">
            <w:pPr>
              <w:rPr>
                <w:b/>
                <w:bCs/>
              </w:rPr>
            </w:pPr>
            <w:r>
              <w:rPr>
                <w:rFonts w:hint="eastAsia"/>
                <w:b/>
                <w:bCs/>
              </w:rPr>
              <w:t>1</w:t>
            </w:r>
          </w:p>
        </w:tc>
        <w:tc>
          <w:tcPr>
            <w:tcW w:w="1284" w:type="dxa"/>
            <w:noWrap/>
          </w:tcPr>
          <w:p w14:paraId="7BAD1EAB">
            <w:pPr>
              <w:rPr>
                <w:rFonts w:hint="default" w:eastAsia="宋体"/>
                <w:lang w:val="en-US" w:eastAsia="zh-CN"/>
              </w:rPr>
            </w:pPr>
            <w:r>
              <w:rPr>
                <w:rFonts w:hint="eastAsia"/>
                <w:lang w:val="en-US" w:eastAsia="zh-CN"/>
              </w:rPr>
              <w:t>温控管理系统系统终端校准</w:t>
            </w:r>
          </w:p>
        </w:tc>
        <w:tc>
          <w:tcPr>
            <w:tcW w:w="5575" w:type="dxa"/>
            <w:noWrap/>
          </w:tcPr>
          <w:p w14:paraId="40A9CB4E">
            <w:pPr>
              <w:numPr>
                <w:ilvl w:val="0"/>
                <w:numId w:val="3"/>
              </w:numPr>
              <w:rPr>
                <w:rFonts w:hint="eastAsia"/>
              </w:rPr>
            </w:pPr>
            <w:r>
              <w:rPr>
                <w:rFonts w:hint="eastAsia"/>
                <w:lang w:val="en-US" w:eastAsia="zh-CN"/>
              </w:rPr>
              <w:t>29台终端设备，2年校准，每年一次</w:t>
            </w:r>
            <w:r>
              <w:rPr>
                <w:rFonts w:hint="eastAsia"/>
                <w:lang w:eastAsia="zh-CN"/>
              </w:rPr>
              <w:t>；</w:t>
            </w:r>
          </w:p>
          <w:p w14:paraId="622F9F9C">
            <w:pPr>
              <w:numPr>
                <w:ilvl w:val="0"/>
                <w:numId w:val="3"/>
              </w:numPr>
              <w:rPr>
                <w:rFonts w:hint="eastAsia"/>
              </w:rPr>
            </w:pPr>
            <w:r>
              <w:rPr>
                <w:rFonts w:hint="eastAsia"/>
              </w:rPr>
              <w:t>提供由中国计量院出具的校准有效期内的备用设备，负责更换现场设备和及时绑定备用设备，避免校准期间数据丢失</w:t>
            </w:r>
            <w:r>
              <w:rPr>
                <w:rFonts w:hint="eastAsia"/>
                <w:lang w:eastAsia="zh-CN"/>
              </w:rPr>
              <w:t>；</w:t>
            </w:r>
          </w:p>
          <w:p w14:paraId="5A0BF135">
            <w:pPr>
              <w:numPr>
                <w:ilvl w:val="0"/>
                <w:numId w:val="3"/>
              </w:numPr>
              <w:ind w:left="0" w:leftChars="0" w:firstLine="0" w:firstLineChars="0"/>
              <w:rPr>
                <w:rFonts w:hint="default" w:eastAsia="宋体"/>
                <w:lang w:val="en-US" w:eastAsia="zh-CN"/>
              </w:rPr>
            </w:pPr>
            <w:r>
              <w:rPr>
                <w:rFonts w:hint="eastAsia"/>
                <w:lang w:val="en-US" w:eastAsia="zh-CN"/>
              </w:rPr>
              <w:t>校准温度范围:-39、2、8、20、60；湿度范围:35、60、75。</w:t>
            </w:r>
          </w:p>
          <w:p w14:paraId="313197FA">
            <w:pPr>
              <w:pStyle w:val="11"/>
              <w:numPr>
                <w:ilvl w:val="0"/>
                <w:numId w:val="3"/>
              </w:numPr>
              <w:ind w:left="0" w:leftChars="0" w:firstLine="0" w:firstLineChars="0"/>
              <w:rPr>
                <w:rFonts w:hint="default"/>
                <w:lang w:val="en-US" w:eastAsia="zh-CN"/>
              </w:rPr>
            </w:pPr>
            <w:r>
              <w:rPr>
                <w:rFonts w:hint="eastAsia"/>
                <w:lang w:val="en-US" w:eastAsia="zh-CN"/>
              </w:rPr>
              <w:t>若校准不合格，免费配合计量机构矫正参数且重新送检。</w:t>
            </w:r>
          </w:p>
          <w:p w14:paraId="5CB60517">
            <w:pPr>
              <w:pStyle w:val="11"/>
              <w:numPr>
                <w:ilvl w:val="0"/>
                <w:numId w:val="3"/>
              </w:numPr>
              <w:ind w:left="0" w:leftChars="0" w:firstLine="0" w:firstLineChars="0"/>
              <w:rPr>
                <w:rFonts w:hint="default"/>
                <w:lang w:val="en-US" w:eastAsia="zh-CN"/>
              </w:rPr>
            </w:pPr>
            <w:r>
              <w:rPr>
                <w:rFonts w:hint="default"/>
                <w:lang w:val="en-US" w:eastAsia="zh-CN"/>
              </w:rPr>
              <w:t>绑定温湿度系统平台</w:t>
            </w:r>
            <w:r>
              <w:rPr>
                <w:rFonts w:hint="eastAsia"/>
                <w:lang w:val="en-US" w:eastAsia="zh-CN"/>
              </w:rPr>
              <w:t>。</w:t>
            </w:r>
          </w:p>
          <w:p w14:paraId="5B2A4CCC">
            <w:pPr>
              <w:pStyle w:val="11"/>
              <w:numPr>
                <w:ilvl w:val="0"/>
                <w:numId w:val="3"/>
              </w:numPr>
              <w:ind w:left="0" w:leftChars="0" w:firstLine="0" w:firstLineChars="0"/>
              <w:rPr>
                <w:rFonts w:hint="default"/>
                <w:lang w:val="en-US" w:eastAsia="zh-CN"/>
              </w:rPr>
            </w:pPr>
            <w:r>
              <w:rPr>
                <w:rFonts w:hint="eastAsia"/>
                <w:lang w:val="en-US" w:eastAsia="zh-CN"/>
              </w:rPr>
              <w:t>校准服务期：2年</w:t>
            </w:r>
          </w:p>
        </w:tc>
        <w:tc>
          <w:tcPr>
            <w:tcW w:w="1073" w:type="dxa"/>
            <w:noWrap/>
          </w:tcPr>
          <w:p w14:paraId="049980B2">
            <w:pPr>
              <w:rPr>
                <w:rFonts w:hint="eastAsia" w:eastAsia="宋体"/>
                <w:b/>
                <w:bCs/>
                <w:lang w:eastAsia="zh-CN"/>
              </w:rPr>
            </w:pPr>
            <w:r>
              <w:rPr>
                <w:rFonts w:hint="eastAsia"/>
                <w:b/>
                <w:bCs/>
                <w:lang w:val="en-US" w:eastAsia="zh-CN"/>
              </w:rPr>
              <w:t>29</w:t>
            </w:r>
          </w:p>
        </w:tc>
      </w:tr>
    </w:tbl>
    <w:p w14:paraId="12778771">
      <w:pPr>
        <w:rPr>
          <w:rFonts w:hint="eastAsia" w:ascii="宋体" w:hAnsi="宋体" w:cs="宋体"/>
          <w:b/>
          <w:bCs/>
          <w:kern w:val="0"/>
          <w:szCs w:val="24"/>
        </w:rPr>
      </w:pPr>
      <w:bookmarkStart w:id="1" w:name="_Toc4784"/>
      <w:bookmarkStart w:id="2" w:name="_Toc120739796"/>
    </w:p>
    <w:p w14:paraId="639E29D2">
      <w:pPr>
        <w:pStyle w:val="27"/>
        <w:numPr>
          <w:ilvl w:val="0"/>
          <w:numId w:val="2"/>
        </w:numPr>
        <w:ind w:firstLineChars="0"/>
        <w:outlineLvl w:val="1"/>
        <w:rPr>
          <w:rFonts w:ascii="宋体" w:hAnsi="宋体" w:cs="宋体"/>
          <w:b/>
          <w:bCs/>
          <w:color w:val="000000"/>
          <w:kern w:val="0"/>
          <w:sz w:val="28"/>
          <w:szCs w:val="28"/>
        </w:rPr>
      </w:pPr>
      <w:r>
        <w:rPr>
          <w:rFonts w:hint="eastAsia" w:ascii="宋体" w:hAnsi="宋体" w:cs="宋体"/>
          <w:b/>
          <w:bCs/>
          <w:kern w:val="0"/>
          <w:sz w:val="28"/>
          <w:szCs w:val="28"/>
        </w:rPr>
        <w:t>商务要求</w:t>
      </w:r>
      <w:bookmarkEnd w:id="1"/>
      <w:bookmarkEnd w:id="2"/>
    </w:p>
    <w:p w14:paraId="70E963A2">
      <w:pPr>
        <w:rPr>
          <w:rFonts w:ascii="宋体" w:hAnsi="宋体" w:cs="宋体"/>
          <w:szCs w:val="24"/>
        </w:rPr>
      </w:pPr>
      <w:r>
        <w:rPr>
          <w:rFonts w:hint="eastAsia" w:ascii="宋体" w:hAnsi="宋体" w:cs="宋体"/>
          <w:kern w:val="0"/>
          <w:szCs w:val="24"/>
        </w:rPr>
        <w:t>1.投标人须有能力提供完善的售后服务（包括参与本次采购项目的实施及后期维护的技术人员、响应时间及备品、备件方面等）。</w:t>
      </w:r>
    </w:p>
    <w:p w14:paraId="0009E0E4">
      <w:pPr>
        <w:rPr>
          <w:rFonts w:hint="eastAsia" w:ascii="宋体" w:hAnsi="宋体" w:cs="宋体"/>
          <w:kern w:val="0"/>
          <w:szCs w:val="24"/>
        </w:rPr>
      </w:pPr>
      <w:r>
        <w:rPr>
          <w:rFonts w:hint="eastAsia" w:ascii="宋体" w:hAnsi="宋体" w:cs="宋体"/>
          <w:kern w:val="0"/>
          <w:szCs w:val="24"/>
        </w:rPr>
        <w:t>2.质量保证期：自验收合格之日起计算，所投报的</w:t>
      </w:r>
      <w:r>
        <w:rPr>
          <w:rFonts w:hint="eastAsia" w:ascii="宋体" w:hAnsi="宋体" w:cs="宋体"/>
          <w:kern w:val="0"/>
          <w:szCs w:val="24"/>
          <w:lang w:val="en-US" w:eastAsia="zh-CN"/>
        </w:rPr>
        <w:t>服务</w:t>
      </w:r>
      <w:r>
        <w:rPr>
          <w:rFonts w:hint="eastAsia" w:ascii="宋体" w:hAnsi="宋体" w:cs="宋体"/>
          <w:kern w:val="0"/>
          <w:szCs w:val="24"/>
        </w:rPr>
        <w:t>产品提供至少</w:t>
      </w:r>
      <w:r>
        <w:rPr>
          <w:rFonts w:hint="eastAsia" w:ascii="宋体" w:hAnsi="宋体" w:cs="宋体"/>
          <w:kern w:val="0"/>
          <w:szCs w:val="24"/>
          <w:lang w:val="en-US" w:eastAsia="zh-CN"/>
        </w:rPr>
        <w:t>2</w:t>
      </w:r>
      <w:r>
        <w:rPr>
          <w:rFonts w:hint="eastAsia" w:ascii="宋体" w:hAnsi="宋体" w:cs="宋体"/>
          <w:kern w:val="0"/>
          <w:szCs w:val="24"/>
        </w:rPr>
        <w:t xml:space="preserve"> 年的原厂质量保证期，并提供</w:t>
      </w:r>
      <w:r>
        <w:rPr>
          <w:rFonts w:hint="eastAsia" w:ascii="宋体" w:hAnsi="宋体" w:cs="宋体"/>
          <w:kern w:val="0"/>
          <w:szCs w:val="24"/>
          <w:lang w:val="en-US" w:eastAsia="zh-CN"/>
        </w:rPr>
        <w:t>服务</w:t>
      </w:r>
      <w:r>
        <w:rPr>
          <w:rFonts w:hint="eastAsia" w:ascii="宋体" w:hAnsi="宋体" w:cs="宋体"/>
          <w:kern w:val="0"/>
          <w:szCs w:val="24"/>
        </w:rPr>
        <w:t>；</w:t>
      </w:r>
    </w:p>
    <w:p w14:paraId="5CE8F977">
      <w:pPr>
        <w:rPr>
          <w:rFonts w:ascii="宋体" w:hAnsi="宋体" w:cs="宋体"/>
          <w:szCs w:val="24"/>
        </w:rPr>
      </w:pPr>
      <w:r>
        <w:rPr>
          <w:rFonts w:hint="eastAsia" w:ascii="宋体" w:hAnsi="宋体" w:cs="宋体"/>
          <w:kern w:val="0"/>
          <w:szCs w:val="24"/>
          <w:lang w:val="en-US" w:eastAsia="zh-CN"/>
        </w:rPr>
        <w:t>3</w:t>
      </w:r>
      <w:r>
        <w:rPr>
          <w:rFonts w:hint="eastAsia" w:ascii="宋体" w:hAnsi="宋体" w:cs="宋体"/>
          <w:kern w:val="0"/>
          <w:szCs w:val="24"/>
        </w:rPr>
        <w:t>.中标供应商应当具有可靠的售后服务保障，有固定的售后服务机构，能提供正常的技术、备品备件服务。</w:t>
      </w:r>
    </w:p>
    <w:p w14:paraId="27A6B7E8">
      <w:pPr>
        <w:rPr>
          <w:rFonts w:ascii="宋体" w:hAnsi="宋体" w:cs="宋体"/>
          <w:szCs w:val="24"/>
        </w:rPr>
      </w:pPr>
      <w:r>
        <w:rPr>
          <w:rFonts w:hint="eastAsia" w:ascii="宋体" w:hAnsi="宋体" w:cs="宋体"/>
          <w:kern w:val="0"/>
          <w:szCs w:val="24"/>
          <w:lang w:val="en-US" w:eastAsia="zh-CN"/>
        </w:rPr>
        <w:t>4</w:t>
      </w:r>
      <w:r>
        <w:rPr>
          <w:rFonts w:hint="eastAsia" w:ascii="宋体" w:hAnsi="宋体" w:cs="宋体"/>
          <w:kern w:val="0"/>
          <w:szCs w:val="24"/>
        </w:rPr>
        <w:t>.中标供应商需设有 24 小时服务热线，质量保证期内定期派工程师到现场维护和巡查。</w:t>
      </w:r>
    </w:p>
    <w:p w14:paraId="168F81DA">
      <w:pPr>
        <w:rPr>
          <w:rFonts w:hint="eastAsia" w:ascii="宋体" w:hAnsi="宋体" w:cs="宋体"/>
          <w:kern w:val="0"/>
          <w:szCs w:val="24"/>
        </w:rPr>
      </w:pPr>
      <w:r>
        <w:rPr>
          <w:rFonts w:hint="eastAsia" w:ascii="宋体" w:hAnsi="宋体" w:cs="宋体"/>
          <w:kern w:val="0"/>
          <w:szCs w:val="24"/>
          <w:lang w:val="en-US" w:eastAsia="zh-CN"/>
        </w:rPr>
        <w:t>5</w:t>
      </w:r>
      <w:r>
        <w:rPr>
          <w:rFonts w:hint="eastAsia" w:ascii="宋体" w:hAnsi="宋体" w:cs="宋体"/>
          <w:kern w:val="0"/>
          <w:szCs w:val="24"/>
        </w:rPr>
        <w:t>.</w:t>
      </w:r>
      <w:r>
        <w:rPr>
          <w:rFonts w:hint="eastAsia" w:ascii="宋体" w:hAnsi="宋体" w:cs="宋体"/>
          <w:kern w:val="0"/>
          <w:szCs w:val="24"/>
          <w:lang w:val="en-US" w:eastAsia="zh-CN"/>
        </w:rPr>
        <w:t>系统</w:t>
      </w:r>
      <w:r>
        <w:rPr>
          <w:rFonts w:hint="eastAsia" w:ascii="宋体" w:hAnsi="宋体" w:cs="宋体"/>
          <w:kern w:val="0"/>
          <w:szCs w:val="24"/>
        </w:rPr>
        <w:t>发生故障后，自报障时起算，1 小时内响应，4 小时内到达现场，8 小时内解决问题。</w:t>
      </w:r>
    </w:p>
    <w:p w14:paraId="5B2B6A9B">
      <w:pPr>
        <w:rPr>
          <w:rFonts w:hint="eastAsia" w:ascii="宋体" w:hAnsi="宋体" w:eastAsia="宋体" w:cs="宋体"/>
          <w:kern w:val="0"/>
          <w:szCs w:val="24"/>
          <w:lang w:eastAsia="zh-CN"/>
        </w:rPr>
      </w:pPr>
      <w:r>
        <w:rPr>
          <w:rFonts w:hint="eastAsia" w:ascii="宋体" w:hAnsi="宋体" w:eastAsia="宋体" w:cs="宋体"/>
          <w:b/>
          <w:bCs/>
          <w:kern w:val="0"/>
          <w:szCs w:val="24"/>
          <w:lang w:val="en-US" w:eastAsia="zh-CN"/>
        </w:rPr>
        <w:t>✳</w:t>
      </w:r>
      <w:r>
        <w:rPr>
          <w:rFonts w:hint="eastAsia" w:ascii="宋体" w:hAnsi="宋体" w:eastAsia="宋体" w:cs="宋体"/>
          <w:kern w:val="0"/>
          <w:szCs w:val="24"/>
        </w:rPr>
        <w:t>6. 结算与付款参数</w:t>
      </w:r>
      <w:r>
        <w:rPr>
          <w:rFonts w:hint="default" w:ascii="宋体" w:hAnsi="宋体" w:eastAsia="宋体" w:cs="宋体"/>
          <w:kern w:val="0"/>
          <w:szCs w:val="24"/>
        </w:rPr>
        <w:br w:type="textWrapping"/>
      </w:r>
      <w:r>
        <w:rPr>
          <w:rFonts w:hint="default" w:ascii="宋体" w:hAnsi="宋体" w:eastAsia="宋体" w:cs="宋体"/>
          <w:kern w:val="0"/>
          <w:szCs w:val="24"/>
        </w:rPr>
        <w:t>（1）结算条件：签订合同且项目软硬件设备安装、校对完成；</w:t>
      </w:r>
      <w:r>
        <w:rPr>
          <w:rFonts w:hint="default" w:ascii="宋体" w:hAnsi="宋体" w:eastAsia="宋体" w:cs="宋体"/>
          <w:kern w:val="0"/>
          <w:szCs w:val="24"/>
        </w:rPr>
        <w:br w:type="textWrapping"/>
      </w:r>
      <w:r>
        <w:rPr>
          <w:rFonts w:hint="default" w:ascii="宋体" w:hAnsi="宋体" w:eastAsia="宋体" w:cs="宋体"/>
          <w:kern w:val="0"/>
          <w:szCs w:val="24"/>
        </w:rPr>
        <w:t>（2）结算数量：按实际校对的终端设备数量据实结算；</w:t>
      </w:r>
      <w:r>
        <w:rPr>
          <w:rFonts w:hint="default" w:ascii="宋体" w:hAnsi="宋体" w:eastAsia="宋体" w:cs="宋体"/>
          <w:kern w:val="0"/>
          <w:szCs w:val="24"/>
        </w:rPr>
        <w:br w:type="textWrapping"/>
      </w:r>
      <w:r>
        <w:rPr>
          <w:rFonts w:hint="default" w:ascii="宋体" w:hAnsi="宋体" w:eastAsia="宋体" w:cs="宋体"/>
          <w:kern w:val="0"/>
          <w:szCs w:val="24"/>
        </w:rPr>
        <w:t>（3）单价上限：校准探头不超过85元/个；设备联网费不超过240元/年/台；</w:t>
      </w:r>
      <w:r>
        <w:rPr>
          <w:rFonts w:hint="default" w:ascii="宋体" w:hAnsi="宋体" w:eastAsia="宋体" w:cs="宋体"/>
          <w:kern w:val="0"/>
          <w:szCs w:val="24"/>
        </w:rPr>
        <w:br w:type="textWrapping"/>
      </w:r>
      <w:r>
        <w:rPr>
          <w:rFonts w:hint="default" w:ascii="宋体" w:hAnsi="宋体" w:eastAsia="宋体" w:cs="宋体"/>
          <w:kern w:val="0"/>
          <w:szCs w:val="24"/>
        </w:rPr>
        <w:t>（4）付款期限：甲方收到发票后30个工作日内，支付合同总额的100%。</w:t>
      </w:r>
    </w:p>
    <w:p w14:paraId="042E6E01">
      <w:pPr>
        <w:rPr>
          <w:rFonts w:ascii="宋体" w:hAnsi="宋体" w:cs="宋体"/>
          <w:kern w:val="0"/>
          <w:szCs w:val="24"/>
        </w:rPr>
      </w:pPr>
    </w:p>
    <w:p w14:paraId="3DE03897">
      <w:pPr>
        <w:pStyle w:val="27"/>
        <w:numPr>
          <w:ilvl w:val="0"/>
          <w:numId w:val="2"/>
        </w:numPr>
        <w:ind w:firstLineChars="0"/>
        <w:outlineLvl w:val="1"/>
        <w:rPr>
          <w:rFonts w:ascii="宋体" w:hAnsi="宋体" w:cs="宋体"/>
          <w:b/>
          <w:bCs/>
          <w:color w:val="000000"/>
          <w:kern w:val="0"/>
          <w:sz w:val="28"/>
          <w:szCs w:val="28"/>
        </w:rPr>
      </w:pPr>
      <w:r>
        <w:rPr>
          <w:rFonts w:ascii="宋体" w:hAnsi="宋体" w:cs="宋体"/>
          <w:b/>
          <w:bCs/>
          <w:sz w:val="28"/>
          <w:szCs w:val="28"/>
        </w:rPr>
        <w:t>资格性和符合性评审表</w:t>
      </w:r>
    </w:p>
    <w:p w14:paraId="4F9B71D7">
      <w:pPr>
        <w:pStyle w:val="47"/>
        <w:rPr>
          <w:rFonts w:hint="default" w:ascii="宋体" w:hAnsi="宋体" w:eastAsia="宋体" w:cs="宋体"/>
          <w:b/>
          <w:bCs/>
          <w:sz w:val="24"/>
          <w:szCs w:val="24"/>
          <w:lang w:eastAsia="zh-CN"/>
        </w:rPr>
      </w:pPr>
      <w:r>
        <w:rPr>
          <w:rFonts w:ascii="宋体" w:hAnsi="宋体" w:eastAsia="宋体" w:cs="宋体"/>
          <w:b/>
          <w:bCs/>
          <w:sz w:val="24"/>
          <w:szCs w:val="24"/>
          <w:lang w:eastAsia="zh-CN"/>
        </w:rPr>
        <w:t>表一资格性审查表：</w:t>
      </w:r>
    </w:p>
    <w:tbl>
      <w:tblPr>
        <w:tblStyle w:val="2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5A7C4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90" w:type="dxa"/>
          </w:tcPr>
          <w:p w14:paraId="0E74C9BB">
            <w:pPr>
              <w:pStyle w:val="47"/>
              <w:rPr>
                <w:rFonts w:hint="default" w:ascii="宋体" w:hAnsi="宋体" w:eastAsia="宋体" w:cs="宋体"/>
                <w:sz w:val="24"/>
                <w:szCs w:val="24"/>
              </w:rPr>
            </w:pPr>
            <w:r>
              <w:rPr>
                <w:rFonts w:ascii="宋体" w:hAnsi="宋体" w:eastAsia="宋体" w:cs="宋体"/>
                <w:sz w:val="24"/>
                <w:szCs w:val="24"/>
              </w:rPr>
              <w:t xml:space="preserve"> 序号</w:t>
            </w:r>
          </w:p>
        </w:tc>
        <w:tc>
          <w:tcPr>
            <w:tcW w:w="7416" w:type="dxa"/>
            <w:gridSpan w:val="2"/>
          </w:tcPr>
          <w:p w14:paraId="12FAC8D6">
            <w:pPr>
              <w:pStyle w:val="47"/>
              <w:rPr>
                <w:rFonts w:hint="default" w:ascii="宋体" w:hAnsi="宋体" w:eastAsia="宋体" w:cs="宋体"/>
                <w:sz w:val="24"/>
                <w:szCs w:val="24"/>
              </w:rPr>
            </w:pPr>
            <w:r>
              <w:rPr>
                <w:rFonts w:ascii="宋体" w:hAnsi="宋体" w:eastAsia="宋体" w:cs="宋体"/>
                <w:sz w:val="24"/>
                <w:szCs w:val="24"/>
              </w:rPr>
              <w:t xml:space="preserve"> 资格审查内容</w:t>
            </w:r>
          </w:p>
        </w:tc>
      </w:tr>
      <w:tr w14:paraId="02B49C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63A00E9">
            <w:pPr>
              <w:pStyle w:val="47"/>
              <w:rPr>
                <w:rFonts w:hint="default" w:ascii="宋体" w:hAnsi="宋体" w:eastAsia="宋体" w:cs="宋体"/>
                <w:sz w:val="24"/>
                <w:szCs w:val="24"/>
              </w:rPr>
            </w:pPr>
            <w:r>
              <w:rPr>
                <w:rFonts w:ascii="宋体" w:hAnsi="宋体" w:eastAsia="宋体" w:cs="宋体"/>
                <w:sz w:val="24"/>
                <w:szCs w:val="24"/>
              </w:rPr>
              <w:t>1</w:t>
            </w:r>
          </w:p>
        </w:tc>
        <w:tc>
          <w:tcPr>
            <w:tcW w:w="3178" w:type="dxa"/>
          </w:tcPr>
          <w:p w14:paraId="37E63DE9">
            <w:pPr>
              <w:pStyle w:val="47"/>
              <w:rPr>
                <w:rFonts w:hint="default" w:ascii="宋体" w:hAnsi="宋体" w:eastAsia="宋体" w:cs="宋体"/>
                <w:sz w:val="24"/>
                <w:szCs w:val="24"/>
              </w:rPr>
            </w:pPr>
            <w:r>
              <w:rPr>
                <w:rFonts w:ascii="宋体" w:hAnsi="宋体" w:eastAsia="宋体" w:cs="宋体"/>
                <w:sz w:val="24"/>
                <w:szCs w:val="24"/>
              </w:rPr>
              <w:t>具有独立承担民事责任的能力</w:t>
            </w:r>
          </w:p>
        </w:tc>
        <w:tc>
          <w:tcPr>
            <w:tcW w:w="4238" w:type="dxa"/>
          </w:tcPr>
          <w:p w14:paraId="178E0866">
            <w:pPr>
              <w:pStyle w:val="47"/>
              <w:rPr>
                <w:rFonts w:hint="default" w:ascii="宋体" w:hAnsi="宋体" w:eastAsia="宋体" w:cs="宋体"/>
                <w:sz w:val="24"/>
                <w:szCs w:val="24"/>
              </w:rPr>
            </w:pPr>
            <w:r>
              <w:rPr>
                <w:rFonts w:ascii="宋体" w:hAnsi="宋体" w:eastAsia="宋体" w:cs="宋体"/>
                <w:sz w:val="24"/>
                <w:szCs w:val="24"/>
              </w:rPr>
              <w:t>投标人必须是具有独立承担民事责任能力的在中华人民共和国境内注册的法人或其他组织或自然人，投标时提交有效的营业执照（或事业法人登记证或身份证等相关证明）副本复印件。分支机构投标的，须提供总公司和分公司营业执照副本复印件，总公司出具给分支机构的授权书。</w:t>
            </w:r>
          </w:p>
        </w:tc>
      </w:tr>
      <w:tr w14:paraId="49C8A1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7F0AA0B">
            <w:pPr>
              <w:pStyle w:val="47"/>
              <w:rPr>
                <w:rFonts w:hint="default" w:ascii="宋体" w:hAnsi="宋体" w:eastAsia="宋体" w:cs="宋体"/>
                <w:sz w:val="24"/>
                <w:szCs w:val="24"/>
              </w:rPr>
            </w:pPr>
            <w:r>
              <w:rPr>
                <w:rFonts w:ascii="宋体" w:hAnsi="宋体" w:eastAsia="宋体" w:cs="宋体"/>
                <w:sz w:val="24"/>
                <w:szCs w:val="24"/>
              </w:rPr>
              <w:t>2</w:t>
            </w:r>
          </w:p>
        </w:tc>
        <w:tc>
          <w:tcPr>
            <w:tcW w:w="3178" w:type="dxa"/>
          </w:tcPr>
          <w:p w14:paraId="3413E8A4">
            <w:pPr>
              <w:pStyle w:val="47"/>
              <w:rPr>
                <w:rFonts w:hint="default" w:ascii="宋体" w:hAnsi="宋体" w:eastAsia="宋体" w:cs="宋体"/>
                <w:sz w:val="24"/>
                <w:szCs w:val="24"/>
              </w:rPr>
            </w:pPr>
            <w:r>
              <w:rPr>
                <w:rFonts w:ascii="宋体" w:hAnsi="宋体" w:eastAsia="宋体" w:cs="宋体"/>
                <w:sz w:val="24"/>
                <w:szCs w:val="24"/>
              </w:rPr>
              <w:t>有依法缴纳税收和社会保障资金的良好记录</w:t>
            </w:r>
          </w:p>
        </w:tc>
        <w:tc>
          <w:tcPr>
            <w:tcW w:w="4238" w:type="dxa"/>
          </w:tcPr>
          <w:p w14:paraId="05435D68">
            <w:pPr>
              <w:pStyle w:val="47"/>
              <w:rPr>
                <w:rFonts w:hint="default" w:ascii="宋体" w:hAnsi="宋体" w:eastAsia="宋体" w:cs="宋体"/>
                <w:sz w:val="24"/>
                <w:szCs w:val="24"/>
              </w:rPr>
            </w:pPr>
            <w:r>
              <w:rPr>
                <w:rFonts w:ascii="宋体" w:hAnsi="宋体" w:eastAsia="宋体" w:cs="宋体"/>
                <w:sz w:val="24"/>
                <w:szCs w:val="24"/>
              </w:rPr>
              <w:t>提供声明函（格式自定，格式可参考公告附件）。</w:t>
            </w:r>
          </w:p>
        </w:tc>
      </w:tr>
      <w:tr w14:paraId="73FFB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6A364864">
            <w:pPr>
              <w:pStyle w:val="47"/>
              <w:rPr>
                <w:rFonts w:hint="default" w:ascii="宋体" w:hAnsi="宋体" w:eastAsia="宋体" w:cs="宋体"/>
                <w:sz w:val="24"/>
                <w:szCs w:val="24"/>
              </w:rPr>
            </w:pPr>
            <w:r>
              <w:rPr>
                <w:rFonts w:ascii="宋体" w:hAnsi="宋体" w:eastAsia="宋体" w:cs="宋体"/>
                <w:sz w:val="24"/>
                <w:szCs w:val="24"/>
              </w:rPr>
              <w:t>3</w:t>
            </w:r>
          </w:p>
        </w:tc>
        <w:tc>
          <w:tcPr>
            <w:tcW w:w="3178" w:type="dxa"/>
          </w:tcPr>
          <w:p w14:paraId="2EFFCEC3">
            <w:pPr>
              <w:pStyle w:val="47"/>
              <w:rPr>
                <w:rFonts w:hint="default" w:ascii="宋体" w:hAnsi="宋体" w:eastAsia="宋体" w:cs="宋体"/>
                <w:sz w:val="24"/>
                <w:szCs w:val="24"/>
              </w:rPr>
            </w:pPr>
            <w:r>
              <w:rPr>
                <w:rFonts w:ascii="宋体" w:hAnsi="宋体" w:eastAsia="宋体" w:cs="宋体"/>
                <w:sz w:val="24"/>
                <w:szCs w:val="24"/>
              </w:rPr>
              <w:t>具有良好的商业信誉和健全的财务会计制度</w:t>
            </w:r>
          </w:p>
        </w:tc>
        <w:tc>
          <w:tcPr>
            <w:tcW w:w="4238" w:type="dxa"/>
          </w:tcPr>
          <w:p w14:paraId="51415794">
            <w:pPr>
              <w:pStyle w:val="47"/>
              <w:rPr>
                <w:rFonts w:hint="default" w:ascii="宋体" w:hAnsi="宋体" w:eastAsia="宋体" w:cs="宋体"/>
                <w:sz w:val="24"/>
                <w:szCs w:val="24"/>
              </w:rPr>
            </w:pPr>
            <w:r>
              <w:rPr>
                <w:rFonts w:ascii="宋体" w:hAnsi="宋体" w:eastAsia="宋体" w:cs="宋体"/>
                <w:sz w:val="24"/>
                <w:szCs w:val="24"/>
              </w:rPr>
              <w:t>提供声明函（格式自定，格式可参考公告附件）。</w:t>
            </w:r>
          </w:p>
        </w:tc>
      </w:tr>
      <w:tr w14:paraId="537703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5E4AC39">
            <w:pPr>
              <w:pStyle w:val="47"/>
              <w:rPr>
                <w:rFonts w:hint="default" w:ascii="宋体" w:hAnsi="宋体" w:eastAsia="宋体" w:cs="宋体"/>
                <w:sz w:val="24"/>
                <w:szCs w:val="24"/>
              </w:rPr>
            </w:pPr>
            <w:r>
              <w:rPr>
                <w:rFonts w:ascii="宋体" w:hAnsi="宋体" w:eastAsia="宋体" w:cs="宋体"/>
                <w:sz w:val="24"/>
                <w:szCs w:val="24"/>
              </w:rPr>
              <w:t>4</w:t>
            </w:r>
          </w:p>
        </w:tc>
        <w:tc>
          <w:tcPr>
            <w:tcW w:w="3178" w:type="dxa"/>
          </w:tcPr>
          <w:p w14:paraId="286609C3">
            <w:pPr>
              <w:pStyle w:val="47"/>
              <w:rPr>
                <w:rFonts w:hint="default" w:ascii="宋体" w:hAnsi="宋体" w:eastAsia="宋体" w:cs="宋体"/>
                <w:sz w:val="24"/>
                <w:szCs w:val="24"/>
              </w:rPr>
            </w:pPr>
            <w:r>
              <w:rPr>
                <w:rFonts w:ascii="宋体" w:hAnsi="宋体" w:eastAsia="宋体" w:cs="宋体"/>
                <w:sz w:val="24"/>
                <w:szCs w:val="24"/>
              </w:rPr>
              <w:t>履行合同所必需的设备和专业技术能力</w:t>
            </w:r>
          </w:p>
        </w:tc>
        <w:tc>
          <w:tcPr>
            <w:tcW w:w="4238" w:type="dxa"/>
          </w:tcPr>
          <w:p w14:paraId="2D81F0AE">
            <w:pPr>
              <w:pStyle w:val="47"/>
              <w:rPr>
                <w:rFonts w:hint="default" w:ascii="宋体" w:hAnsi="宋体" w:eastAsia="宋体" w:cs="宋体"/>
                <w:sz w:val="24"/>
                <w:szCs w:val="24"/>
              </w:rPr>
            </w:pPr>
            <w:r>
              <w:rPr>
                <w:rFonts w:ascii="宋体" w:hAnsi="宋体" w:eastAsia="宋体" w:cs="宋体"/>
                <w:sz w:val="24"/>
                <w:szCs w:val="24"/>
              </w:rPr>
              <w:t>提供声明函（格式自定，格式可参考公告附件）。</w:t>
            </w:r>
          </w:p>
        </w:tc>
      </w:tr>
      <w:tr w14:paraId="674E0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FB5B526">
            <w:pPr>
              <w:pStyle w:val="47"/>
              <w:rPr>
                <w:rFonts w:hint="default" w:ascii="宋体" w:hAnsi="宋体" w:eastAsia="宋体" w:cs="宋体"/>
                <w:sz w:val="24"/>
                <w:szCs w:val="24"/>
              </w:rPr>
            </w:pPr>
            <w:r>
              <w:rPr>
                <w:rFonts w:ascii="宋体" w:hAnsi="宋体" w:eastAsia="宋体" w:cs="宋体"/>
                <w:sz w:val="24"/>
                <w:szCs w:val="24"/>
              </w:rPr>
              <w:t>5</w:t>
            </w:r>
          </w:p>
        </w:tc>
        <w:tc>
          <w:tcPr>
            <w:tcW w:w="3178" w:type="dxa"/>
          </w:tcPr>
          <w:p w14:paraId="2FBBA7D9">
            <w:pPr>
              <w:pStyle w:val="47"/>
              <w:rPr>
                <w:rFonts w:hint="default" w:ascii="宋体" w:hAnsi="宋体" w:eastAsia="宋体" w:cs="宋体"/>
                <w:sz w:val="24"/>
                <w:szCs w:val="24"/>
              </w:rPr>
            </w:pPr>
            <w:r>
              <w:rPr>
                <w:rFonts w:ascii="宋体" w:hAnsi="宋体" w:eastAsia="宋体" w:cs="宋体"/>
                <w:sz w:val="24"/>
                <w:szCs w:val="24"/>
              </w:rPr>
              <w:t>参加采购活动前3年内，在经营活动中没有重大违法记录</w:t>
            </w:r>
          </w:p>
        </w:tc>
        <w:tc>
          <w:tcPr>
            <w:tcW w:w="4238" w:type="dxa"/>
          </w:tcPr>
          <w:p w14:paraId="3D8895FC">
            <w:pPr>
              <w:pStyle w:val="47"/>
              <w:rPr>
                <w:rFonts w:hint="default" w:ascii="宋体" w:hAnsi="宋体" w:eastAsia="宋体" w:cs="宋体"/>
                <w:sz w:val="24"/>
                <w:szCs w:val="24"/>
              </w:rPr>
            </w:pPr>
            <w:r>
              <w:rPr>
                <w:rFonts w:ascii="宋体" w:hAnsi="宋体" w:eastAsia="宋体" w:cs="宋体"/>
                <w:sz w:val="24"/>
                <w:szCs w:val="24"/>
              </w:rPr>
              <w:t>提供声明函（格式自定，格式可参考公告附件）。重大违法记录，是指投标人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0148D3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4F974D15">
            <w:pPr>
              <w:pStyle w:val="47"/>
              <w:rPr>
                <w:rFonts w:hint="default" w:ascii="宋体" w:hAnsi="宋体" w:eastAsia="宋体" w:cs="宋体"/>
                <w:sz w:val="24"/>
                <w:szCs w:val="24"/>
              </w:rPr>
            </w:pPr>
            <w:r>
              <w:rPr>
                <w:rFonts w:ascii="宋体" w:hAnsi="宋体" w:eastAsia="宋体" w:cs="宋体"/>
                <w:sz w:val="24"/>
                <w:szCs w:val="24"/>
              </w:rPr>
              <w:t>6</w:t>
            </w:r>
          </w:p>
        </w:tc>
        <w:tc>
          <w:tcPr>
            <w:tcW w:w="3178" w:type="dxa"/>
          </w:tcPr>
          <w:p w14:paraId="6F1A1214">
            <w:pPr>
              <w:pStyle w:val="47"/>
              <w:rPr>
                <w:rFonts w:hint="default" w:ascii="宋体" w:hAnsi="宋体" w:eastAsia="宋体" w:cs="宋体"/>
                <w:sz w:val="24"/>
                <w:szCs w:val="24"/>
              </w:rPr>
            </w:pPr>
            <w:r>
              <w:rPr>
                <w:rFonts w:ascii="宋体" w:hAnsi="宋体" w:eastAsia="宋体" w:cs="宋体"/>
                <w:sz w:val="24"/>
                <w:szCs w:val="24"/>
              </w:rPr>
              <w:t>信用记录</w:t>
            </w:r>
          </w:p>
        </w:tc>
        <w:tc>
          <w:tcPr>
            <w:tcW w:w="4238" w:type="dxa"/>
          </w:tcPr>
          <w:p w14:paraId="0E8A1274">
            <w:pPr>
              <w:pStyle w:val="47"/>
              <w:rPr>
                <w:rFonts w:hint="default" w:ascii="宋体" w:hAnsi="宋体" w:eastAsia="宋体" w:cs="宋体"/>
                <w:sz w:val="24"/>
                <w:szCs w:val="24"/>
              </w:rPr>
            </w:pPr>
            <w:r>
              <w:rPr>
                <w:rFonts w:ascii="宋体" w:hAnsi="宋体" w:eastAsia="宋体" w:cs="宋体"/>
                <w:sz w:val="24"/>
                <w:szCs w:val="24"/>
              </w:rPr>
              <w:t>供应商未被列入“信用中国”网站(www.creditchina.gov.cn)“失信被执行人或重大税收违法案件当事人名单（重大税收违法失信主体）或政府采购严重违法失信行为记录名单”；不处于中国政府采购网(www.ccgp.gov.cn)“政府采购严重违法失信行为记录名单”中的禁止参加政府采购活动期间。（以采购代理机构于投标截止日当天在“信用中国”网站（www.creditchina.gov.cn）及中国政府采购网（http://www.ccgp.gov.cn/）查询结果为准，如相关失信记录已失效，投标人需提供相关证明资料）。</w:t>
            </w:r>
          </w:p>
        </w:tc>
      </w:tr>
      <w:tr w14:paraId="3FFE30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5D04B38">
            <w:pPr>
              <w:pStyle w:val="47"/>
              <w:rPr>
                <w:rFonts w:hint="default" w:ascii="宋体" w:hAnsi="宋体" w:eastAsia="宋体" w:cs="宋体"/>
                <w:sz w:val="24"/>
                <w:szCs w:val="24"/>
              </w:rPr>
            </w:pPr>
            <w:r>
              <w:rPr>
                <w:rFonts w:ascii="宋体" w:hAnsi="宋体" w:eastAsia="宋体" w:cs="宋体"/>
                <w:sz w:val="24"/>
                <w:szCs w:val="24"/>
              </w:rPr>
              <w:t>7</w:t>
            </w:r>
          </w:p>
        </w:tc>
        <w:tc>
          <w:tcPr>
            <w:tcW w:w="3178" w:type="dxa"/>
          </w:tcPr>
          <w:p w14:paraId="582A6914">
            <w:pPr>
              <w:pStyle w:val="47"/>
              <w:rPr>
                <w:rFonts w:hint="default" w:ascii="宋体" w:hAnsi="宋体" w:eastAsia="宋体" w:cs="宋体"/>
                <w:sz w:val="24"/>
                <w:szCs w:val="24"/>
              </w:rPr>
            </w:pPr>
            <w:r>
              <w:rPr>
                <w:rFonts w:ascii="宋体" w:hAnsi="宋体" w:eastAsia="宋体" w:cs="宋体"/>
                <w:sz w:val="24"/>
                <w:szCs w:val="24"/>
              </w:rPr>
              <w:t>供应商必须符合法律、行政法规规定的其他条件</w:t>
            </w:r>
          </w:p>
        </w:tc>
        <w:tc>
          <w:tcPr>
            <w:tcW w:w="4238" w:type="dxa"/>
          </w:tcPr>
          <w:p w14:paraId="37DE304A">
            <w:pPr>
              <w:pStyle w:val="47"/>
              <w:rPr>
                <w:rFonts w:hint="default" w:ascii="宋体" w:hAnsi="宋体" w:eastAsia="宋体" w:cs="宋体"/>
                <w:sz w:val="24"/>
                <w:szCs w:val="24"/>
              </w:rPr>
            </w:pPr>
            <w:r>
              <w:rPr>
                <w:rFonts w:ascii="宋体" w:hAnsi="宋体" w:eastAsia="宋体" w:cs="宋体"/>
                <w:sz w:val="24"/>
                <w:szCs w:val="24"/>
              </w:rPr>
              <w:t>单位负责人为同一人或者存在直接控股、管理关系的不同供应商，不得同时参加本采购项目投标。为本项目提供整体设计、规范编制或者项目管理、监理、检测等服务的供应商，不得再参与本项目投标。提供《投标函》或提供声明函（格式自定，格式可参考招标公告附件）。</w:t>
            </w:r>
          </w:p>
        </w:tc>
      </w:tr>
      <w:tr w14:paraId="0ECB80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5982C94">
            <w:pPr>
              <w:pStyle w:val="47"/>
              <w:rPr>
                <w:rFonts w:hint="default" w:ascii="宋体" w:hAnsi="宋体" w:eastAsia="宋体" w:cs="宋体"/>
                <w:sz w:val="24"/>
                <w:szCs w:val="24"/>
              </w:rPr>
            </w:pPr>
            <w:r>
              <w:rPr>
                <w:rFonts w:ascii="宋体" w:hAnsi="宋体" w:eastAsia="宋体" w:cs="宋体"/>
                <w:sz w:val="24"/>
                <w:szCs w:val="24"/>
              </w:rPr>
              <w:t>8</w:t>
            </w:r>
          </w:p>
        </w:tc>
        <w:tc>
          <w:tcPr>
            <w:tcW w:w="3178" w:type="dxa"/>
          </w:tcPr>
          <w:p w14:paraId="71DDA998">
            <w:pPr>
              <w:pStyle w:val="47"/>
              <w:rPr>
                <w:rFonts w:hint="default" w:ascii="宋体" w:hAnsi="宋体" w:eastAsia="宋体" w:cs="宋体"/>
                <w:sz w:val="24"/>
                <w:szCs w:val="24"/>
              </w:rPr>
            </w:pPr>
            <w:r>
              <w:rPr>
                <w:rFonts w:ascii="宋体" w:hAnsi="宋体" w:eastAsia="宋体" w:cs="宋体"/>
                <w:sz w:val="24"/>
                <w:szCs w:val="24"/>
              </w:rPr>
              <w:t>本采购包专门面向中小企业采购</w:t>
            </w:r>
          </w:p>
        </w:tc>
        <w:tc>
          <w:tcPr>
            <w:tcW w:w="4238" w:type="dxa"/>
          </w:tcPr>
          <w:p w14:paraId="0B5AE96D">
            <w:pPr>
              <w:pStyle w:val="47"/>
              <w:rPr>
                <w:rFonts w:hint="default" w:ascii="宋体" w:hAnsi="宋体" w:eastAsia="宋体" w:cs="宋体"/>
                <w:sz w:val="24"/>
                <w:szCs w:val="24"/>
              </w:rPr>
            </w:pPr>
            <w:r>
              <w:rPr>
                <w:rFonts w:ascii="宋体" w:hAnsi="宋体" w:eastAsia="宋体" w:cs="宋体"/>
                <w:sz w:val="24"/>
                <w:szCs w:val="24"/>
              </w:rPr>
              <w:t>本项目属于专门面向中小企业采购的项目。注：监狱企业、残疾人福利单位视同小型、微型企业。中小微企业以供应商填写的《中小企业声明函（货物）》为判定标准，残疾人福利性单位以供应商填写的《残疾人福利性单位声明函》为判定标准，监狱企业须供应商提供由省级以上监狱管理局、戒毒管理局（含新疆生产建设兵团）出具的属于监狱企业的证明文件，否则不予认定。</w:t>
            </w:r>
          </w:p>
        </w:tc>
      </w:tr>
    </w:tbl>
    <w:p w14:paraId="0CAA7650">
      <w:pPr>
        <w:pStyle w:val="47"/>
        <w:ind w:firstLine="480"/>
        <w:rPr>
          <w:rFonts w:hint="default" w:ascii="宋体" w:hAnsi="宋体" w:eastAsia="宋体" w:cs="宋体"/>
          <w:sz w:val="24"/>
          <w:szCs w:val="24"/>
        </w:rPr>
      </w:pPr>
    </w:p>
    <w:p w14:paraId="3C88A8C2">
      <w:pPr>
        <w:pStyle w:val="47"/>
        <w:rPr>
          <w:rFonts w:ascii="宋体" w:hAnsi="宋体" w:eastAsia="宋体" w:cs="宋体"/>
          <w:sz w:val="24"/>
          <w:szCs w:val="24"/>
          <w:lang w:eastAsia="zh-CN"/>
        </w:rPr>
      </w:pPr>
    </w:p>
    <w:p w14:paraId="614401C4">
      <w:pPr>
        <w:pStyle w:val="47"/>
        <w:ind w:firstLine="480"/>
        <w:rPr>
          <w:rFonts w:ascii="宋体" w:hAnsi="宋体" w:eastAsia="宋体" w:cs="宋体"/>
          <w:b/>
          <w:bCs/>
          <w:sz w:val="24"/>
          <w:szCs w:val="24"/>
          <w:lang w:eastAsia="zh-CN"/>
        </w:rPr>
      </w:pPr>
      <w:r>
        <w:rPr>
          <w:rFonts w:ascii="宋体" w:hAnsi="宋体" w:eastAsia="宋体" w:cs="宋体"/>
          <w:b/>
          <w:bCs/>
          <w:sz w:val="24"/>
          <w:szCs w:val="24"/>
        </w:rPr>
        <w:t>表二符合性审查表：</w:t>
      </w:r>
    </w:p>
    <w:tbl>
      <w:tblPr>
        <w:tblStyle w:val="21"/>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3178"/>
        <w:gridCol w:w="4238"/>
      </w:tblGrid>
      <w:tr w14:paraId="2827E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54C680C">
            <w:pPr>
              <w:pStyle w:val="47"/>
              <w:rPr>
                <w:rFonts w:hint="default" w:ascii="宋体" w:hAnsi="宋体" w:eastAsia="宋体" w:cs="宋体"/>
                <w:sz w:val="24"/>
                <w:szCs w:val="24"/>
              </w:rPr>
            </w:pPr>
            <w:r>
              <w:rPr>
                <w:rFonts w:ascii="宋体" w:hAnsi="宋体" w:eastAsia="宋体" w:cs="宋体"/>
                <w:sz w:val="24"/>
                <w:szCs w:val="24"/>
              </w:rPr>
              <w:t xml:space="preserve"> 序号</w:t>
            </w:r>
          </w:p>
        </w:tc>
        <w:tc>
          <w:tcPr>
            <w:tcW w:w="3178" w:type="dxa"/>
          </w:tcPr>
          <w:p w14:paraId="5798FAAB">
            <w:pPr>
              <w:pStyle w:val="47"/>
              <w:rPr>
                <w:rFonts w:hint="default" w:ascii="宋体" w:hAnsi="宋体" w:eastAsia="宋体" w:cs="宋体"/>
                <w:sz w:val="24"/>
                <w:szCs w:val="24"/>
              </w:rPr>
            </w:pPr>
            <w:r>
              <w:rPr>
                <w:rFonts w:ascii="宋体" w:hAnsi="宋体" w:eastAsia="宋体" w:cs="宋体"/>
                <w:sz w:val="24"/>
                <w:szCs w:val="24"/>
              </w:rPr>
              <w:t xml:space="preserve"> 评审点要求概况</w:t>
            </w:r>
          </w:p>
        </w:tc>
        <w:tc>
          <w:tcPr>
            <w:tcW w:w="4238" w:type="dxa"/>
          </w:tcPr>
          <w:p w14:paraId="5721356D">
            <w:pPr>
              <w:pStyle w:val="47"/>
              <w:rPr>
                <w:rFonts w:hint="default" w:ascii="宋体" w:hAnsi="宋体" w:eastAsia="宋体" w:cs="宋体"/>
                <w:sz w:val="24"/>
                <w:szCs w:val="24"/>
              </w:rPr>
            </w:pPr>
            <w:r>
              <w:rPr>
                <w:rFonts w:ascii="宋体" w:hAnsi="宋体" w:eastAsia="宋体" w:cs="宋体"/>
                <w:sz w:val="24"/>
                <w:szCs w:val="24"/>
              </w:rPr>
              <w:t xml:space="preserve"> 评审点具体描述</w:t>
            </w:r>
          </w:p>
        </w:tc>
      </w:tr>
      <w:tr w14:paraId="3A54E4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45FA535">
            <w:pPr>
              <w:pStyle w:val="47"/>
              <w:rPr>
                <w:rFonts w:hint="default" w:ascii="宋体" w:hAnsi="宋体" w:eastAsia="宋体" w:cs="宋体"/>
                <w:sz w:val="24"/>
                <w:szCs w:val="24"/>
              </w:rPr>
            </w:pPr>
            <w:r>
              <w:rPr>
                <w:rFonts w:ascii="宋体" w:hAnsi="宋体" w:eastAsia="宋体" w:cs="宋体"/>
                <w:sz w:val="24"/>
                <w:szCs w:val="24"/>
              </w:rPr>
              <w:t>1</w:t>
            </w:r>
          </w:p>
        </w:tc>
        <w:tc>
          <w:tcPr>
            <w:tcW w:w="3178" w:type="dxa"/>
          </w:tcPr>
          <w:p w14:paraId="55B5D33F">
            <w:pPr>
              <w:pStyle w:val="47"/>
              <w:rPr>
                <w:rFonts w:hint="default" w:ascii="宋体" w:hAnsi="宋体" w:eastAsia="宋体" w:cs="宋体"/>
                <w:sz w:val="24"/>
                <w:szCs w:val="24"/>
              </w:rPr>
            </w:pPr>
            <w:r>
              <w:rPr>
                <w:rFonts w:ascii="宋体" w:hAnsi="宋体" w:eastAsia="宋体" w:cs="宋体"/>
                <w:sz w:val="24"/>
                <w:szCs w:val="24"/>
              </w:rPr>
              <w:t>法定代表人/单位负责人证明书及授权委托书</w:t>
            </w:r>
          </w:p>
        </w:tc>
        <w:tc>
          <w:tcPr>
            <w:tcW w:w="4238" w:type="dxa"/>
          </w:tcPr>
          <w:p w14:paraId="5C39C7AF">
            <w:pPr>
              <w:pStyle w:val="47"/>
              <w:rPr>
                <w:rFonts w:hint="default" w:ascii="宋体" w:hAnsi="宋体" w:eastAsia="宋体" w:cs="宋体"/>
                <w:sz w:val="24"/>
                <w:szCs w:val="24"/>
              </w:rPr>
            </w:pPr>
            <w:r>
              <w:rPr>
                <w:rFonts w:ascii="宋体" w:hAnsi="宋体" w:eastAsia="宋体" w:cs="宋体"/>
                <w:sz w:val="24"/>
                <w:szCs w:val="24"/>
              </w:rPr>
              <w:t>法定代表人/单位负责人证明书及授权委托书，按对应格式文件签署、盖章。</w:t>
            </w:r>
          </w:p>
        </w:tc>
      </w:tr>
      <w:tr w14:paraId="642142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33A04E4D">
            <w:pPr>
              <w:pStyle w:val="47"/>
              <w:rPr>
                <w:rFonts w:hint="default" w:ascii="宋体" w:hAnsi="宋体" w:eastAsia="宋体" w:cs="宋体"/>
                <w:sz w:val="24"/>
                <w:szCs w:val="24"/>
              </w:rPr>
            </w:pPr>
            <w:r>
              <w:rPr>
                <w:rFonts w:ascii="宋体" w:hAnsi="宋体" w:eastAsia="宋体" w:cs="宋体"/>
                <w:sz w:val="24"/>
                <w:szCs w:val="24"/>
              </w:rPr>
              <w:t>2</w:t>
            </w:r>
          </w:p>
        </w:tc>
        <w:tc>
          <w:tcPr>
            <w:tcW w:w="3178" w:type="dxa"/>
          </w:tcPr>
          <w:p w14:paraId="2FB46747">
            <w:pPr>
              <w:pStyle w:val="47"/>
              <w:rPr>
                <w:rFonts w:hint="default" w:ascii="宋体" w:hAnsi="宋体" w:eastAsia="宋体" w:cs="宋体"/>
                <w:sz w:val="24"/>
                <w:szCs w:val="24"/>
              </w:rPr>
            </w:pPr>
            <w:r>
              <w:rPr>
                <w:rFonts w:ascii="宋体" w:hAnsi="宋体" w:eastAsia="宋体" w:cs="宋体"/>
                <w:sz w:val="24"/>
                <w:szCs w:val="24"/>
              </w:rPr>
              <w:t>投标文件签字、盖章要求</w:t>
            </w:r>
          </w:p>
        </w:tc>
        <w:tc>
          <w:tcPr>
            <w:tcW w:w="4238" w:type="dxa"/>
          </w:tcPr>
          <w:p w14:paraId="31955B27">
            <w:pPr>
              <w:pStyle w:val="47"/>
              <w:rPr>
                <w:rFonts w:hint="default" w:ascii="宋体" w:hAnsi="宋体" w:eastAsia="宋体" w:cs="宋体"/>
                <w:sz w:val="24"/>
                <w:szCs w:val="24"/>
              </w:rPr>
            </w:pPr>
            <w:r>
              <w:rPr>
                <w:rFonts w:ascii="宋体" w:hAnsi="宋体" w:eastAsia="宋体" w:cs="宋体"/>
                <w:sz w:val="24"/>
                <w:szCs w:val="24"/>
              </w:rPr>
              <w:t>投标文件签字、盖章符合招标文件要求。</w:t>
            </w:r>
          </w:p>
        </w:tc>
      </w:tr>
      <w:tr w14:paraId="5BEFC6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09BB2F3">
            <w:pPr>
              <w:pStyle w:val="47"/>
              <w:rPr>
                <w:rFonts w:hint="default" w:ascii="宋体" w:hAnsi="宋体" w:eastAsia="宋体" w:cs="宋体"/>
                <w:sz w:val="24"/>
                <w:szCs w:val="24"/>
              </w:rPr>
            </w:pPr>
            <w:r>
              <w:rPr>
                <w:rFonts w:ascii="宋体" w:hAnsi="宋体" w:eastAsia="宋体" w:cs="宋体"/>
                <w:sz w:val="24"/>
                <w:szCs w:val="24"/>
              </w:rPr>
              <w:t>3</w:t>
            </w:r>
          </w:p>
        </w:tc>
        <w:tc>
          <w:tcPr>
            <w:tcW w:w="3178" w:type="dxa"/>
          </w:tcPr>
          <w:p w14:paraId="02D42088">
            <w:pPr>
              <w:pStyle w:val="47"/>
              <w:rPr>
                <w:rFonts w:hint="default" w:ascii="宋体" w:hAnsi="宋体" w:eastAsia="宋体" w:cs="宋体"/>
                <w:sz w:val="24"/>
                <w:szCs w:val="24"/>
              </w:rPr>
            </w:pPr>
            <w:r>
              <w:rPr>
                <w:rFonts w:ascii="宋体" w:hAnsi="宋体" w:eastAsia="宋体" w:cs="宋体"/>
                <w:sz w:val="24"/>
                <w:szCs w:val="24"/>
              </w:rPr>
              <w:t>投标有效期</w:t>
            </w:r>
          </w:p>
        </w:tc>
        <w:tc>
          <w:tcPr>
            <w:tcW w:w="4238" w:type="dxa"/>
          </w:tcPr>
          <w:p w14:paraId="61B5535C">
            <w:pPr>
              <w:pStyle w:val="47"/>
              <w:rPr>
                <w:rFonts w:hint="default" w:ascii="宋体" w:hAnsi="宋体" w:eastAsia="宋体" w:cs="宋体"/>
                <w:sz w:val="24"/>
                <w:szCs w:val="24"/>
              </w:rPr>
            </w:pPr>
            <w:r>
              <w:rPr>
                <w:rFonts w:ascii="宋体" w:hAnsi="宋体" w:eastAsia="宋体" w:cs="宋体"/>
                <w:sz w:val="24"/>
                <w:szCs w:val="24"/>
              </w:rPr>
              <w:t>投标函已提交并符合招标文件要求的，且投标有效期不少于招标文件中载明的投标有效期。</w:t>
            </w:r>
          </w:p>
        </w:tc>
      </w:tr>
      <w:tr w14:paraId="668BA7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2CC3D480">
            <w:pPr>
              <w:pStyle w:val="47"/>
              <w:rPr>
                <w:rFonts w:hint="default" w:ascii="宋体" w:hAnsi="宋体" w:eastAsia="宋体" w:cs="宋体"/>
                <w:sz w:val="24"/>
                <w:szCs w:val="24"/>
              </w:rPr>
            </w:pPr>
            <w:r>
              <w:rPr>
                <w:rFonts w:ascii="宋体" w:hAnsi="宋体" w:eastAsia="宋体" w:cs="宋体"/>
                <w:sz w:val="24"/>
                <w:szCs w:val="24"/>
              </w:rPr>
              <w:t>4</w:t>
            </w:r>
          </w:p>
        </w:tc>
        <w:tc>
          <w:tcPr>
            <w:tcW w:w="3178" w:type="dxa"/>
          </w:tcPr>
          <w:p w14:paraId="21B09C61">
            <w:pPr>
              <w:pStyle w:val="47"/>
              <w:rPr>
                <w:rFonts w:hint="default" w:ascii="宋体" w:hAnsi="宋体" w:eastAsia="宋体" w:cs="宋体"/>
                <w:sz w:val="24"/>
                <w:szCs w:val="24"/>
              </w:rPr>
            </w:pPr>
            <w:r>
              <w:rPr>
                <w:rFonts w:ascii="宋体" w:hAnsi="宋体" w:eastAsia="宋体" w:cs="宋体"/>
                <w:sz w:val="24"/>
                <w:szCs w:val="24"/>
              </w:rPr>
              <w:t>投标报价</w:t>
            </w:r>
          </w:p>
        </w:tc>
        <w:tc>
          <w:tcPr>
            <w:tcW w:w="4238" w:type="dxa"/>
          </w:tcPr>
          <w:p w14:paraId="260DC13F">
            <w:pPr>
              <w:pStyle w:val="47"/>
              <w:rPr>
                <w:rFonts w:hint="default" w:ascii="宋体" w:hAnsi="宋体" w:eastAsia="宋体" w:cs="宋体"/>
                <w:sz w:val="24"/>
                <w:szCs w:val="24"/>
              </w:rPr>
            </w:pPr>
            <w:r>
              <w:rPr>
                <w:rFonts w:ascii="宋体" w:hAnsi="宋体" w:eastAsia="宋体" w:cs="宋体"/>
                <w:sz w:val="24"/>
                <w:szCs w:val="24"/>
              </w:rPr>
              <w:t>投标报价唯一，不高于采购人需求规定的最高限价（预算金额）。</w:t>
            </w:r>
          </w:p>
        </w:tc>
      </w:tr>
      <w:tr w14:paraId="27F63F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761A628">
            <w:pPr>
              <w:pStyle w:val="47"/>
              <w:rPr>
                <w:rFonts w:hint="default" w:ascii="宋体" w:hAnsi="宋体" w:eastAsia="宋体" w:cs="宋体"/>
                <w:sz w:val="24"/>
                <w:szCs w:val="24"/>
              </w:rPr>
            </w:pPr>
            <w:r>
              <w:rPr>
                <w:rFonts w:ascii="宋体" w:hAnsi="宋体" w:eastAsia="宋体" w:cs="宋体"/>
                <w:sz w:val="24"/>
                <w:szCs w:val="24"/>
              </w:rPr>
              <w:t>5</w:t>
            </w:r>
          </w:p>
        </w:tc>
        <w:tc>
          <w:tcPr>
            <w:tcW w:w="3178" w:type="dxa"/>
          </w:tcPr>
          <w:p w14:paraId="3A0B7A76">
            <w:pPr>
              <w:pStyle w:val="47"/>
              <w:rPr>
                <w:rFonts w:hint="default" w:ascii="宋体" w:hAnsi="宋体" w:eastAsia="宋体" w:cs="宋体"/>
                <w:sz w:val="24"/>
                <w:szCs w:val="24"/>
              </w:rPr>
            </w:pPr>
            <w:r>
              <w:rPr>
                <w:rFonts w:ascii="宋体" w:hAnsi="宋体" w:eastAsia="宋体" w:cs="宋体"/>
                <w:sz w:val="24"/>
                <w:szCs w:val="24"/>
              </w:rPr>
              <w:t>满足招标文件中带★号的条款和指标</w:t>
            </w:r>
          </w:p>
        </w:tc>
        <w:tc>
          <w:tcPr>
            <w:tcW w:w="4238" w:type="dxa"/>
          </w:tcPr>
          <w:p w14:paraId="68A1650C">
            <w:pPr>
              <w:pStyle w:val="47"/>
              <w:rPr>
                <w:rFonts w:hint="default" w:ascii="宋体" w:hAnsi="宋体" w:eastAsia="宋体" w:cs="宋体"/>
                <w:sz w:val="24"/>
                <w:szCs w:val="24"/>
              </w:rPr>
            </w:pPr>
            <w:r>
              <w:rPr>
                <w:rFonts w:ascii="宋体" w:hAnsi="宋体" w:eastAsia="宋体" w:cs="宋体"/>
                <w:sz w:val="24"/>
                <w:szCs w:val="24"/>
              </w:rPr>
              <w:t>投标文件完全满足招标文件用户需求书以“★”标明的实质性条款的要求。</w:t>
            </w:r>
          </w:p>
        </w:tc>
      </w:tr>
      <w:tr w14:paraId="6F98FE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16A87955">
            <w:pPr>
              <w:pStyle w:val="47"/>
              <w:rPr>
                <w:rFonts w:hint="default" w:ascii="宋体" w:hAnsi="宋体" w:eastAsia="宋体" w:cs="宋体"/>
                <w:sz w:val="24"/>
                <w:szCs w:val="24"/>
              </w:rPr>
            </w:pPr>
            <w:r>
              <w:rPr>
                <w:rFonts w:ascii="宋体" w:hAnsi="宋体" w:eastAsia="宋体" w:cs="宋体"/>
                <w:sz w:val="24"/>
                <w:szCs w:val="24"/>
              </w:rPr>
              <w:t>6</w:t>
            </w:r>
          </w:p>
        </w:tc>
        <w:tc>
          <w:tcPr>
            <w:tcW w:w="3178" w:type="dxa"/>
          </w:tcPr>
          <w:p w14:paraId="5BD3407B">
            <w:pPr>
              <w:pStyle w:val="47"/>
              <w:rPr>
                <w:rFonts w:hint="default" w:ascii="宋体" w:hAnsi="宋体" w:eastAsia="宋体" w:cs="宋体"/>
                <w:sz w:val="24"/>
                <w:szCs w:val="24"/>
              </w:rPr>
            </w:pPr>
            <w:r>
              <w:rPr>
                <w:rFonts w:ascii="宋体" w:hAnsi="宋体" w:eastAsia="宋体" w:cs="宋体"/>
                <w:sz w:val="24"/>
                <w:szCs w:val="24"/>
              </w:rPr>
              <w:t>投标文件没有招标文件中规定的其它无效投标条款的</w:t>
            </w:r>
          </w:p>
        </w:tc>
        <w:tc>
          <w:tcPr>
            <w:tcW w:w="4238" w:type="dxa"/>
          </w:tcPr>
          <w:p w14:paraId="40E2C113">
            <w:pPr>
              <w:pStyle w:val="47"/>
              <w:rPr>
                <w:rFonts w:hint="default" w:ascii="宋体" w:hAnsi="宋体" w:eastAsia="宋体" w:cs="宋体"/>
                <w:sz w:val="24"/>
                <w:szCs w:val="24"/>
              </w:rPr>
            </w:pPr>
            <w:r>
              <w:rPr>
                <w:rFonts w:ascii="宋体" w:hAnsi="宋体" w:eastAsia="宋体" w:cs="宋体"/>
                <w:sz w:val="24"/>
                <w:szCs w:val="24"/>
              </w:rPr>
              <w:t>投标文件没有招标文件中规定的其它无效投标条款的。</w:t>
            </w:r>
          </w:p>
        </w:tc>
      </w:tr>
      <w:tr w14:paraId="7C0F2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78CA7701">
            <w:pPr>
              <w:pStyle w:val="47"/>
              <w:rPr>
                <w:rFonts w:hint="default" w:ascii="宋体" w:hAnsi="宋体" w:eastAsia="宋体" w:cs="宋体"/>
                <w:sz w:val="24"/>
                <w:szCs w:val="24"/>
              </w:rPr>
            </w:pPr>
            <w:r>
              <w:rPr>
                <w:rFonts w:ascii="宋体" w:hAnsi="宋体" w:eastAsia="宋体" w:cs="宋体"/>
                <w:sz w:val="24"/>
                <w:szCs w:val="24"/>
              </w:rPr>
              <w:t>7</w:t>
            </w:r>
          </w:p>
        </w:tc>
        <w:tc>
          <w:tcPr>
            <w:tcW w:w="3178" w:type="dxa"/>
          </w:tcPr>
          <w:p w14:paraId="4B72D273">
            <w:pPr>
              <w:pStyle w:val="47"/>
              <w:rPr>
                <w:rFonts w:hint="default" w:ascii="宋体" w:hAnsi="宋体" w:eastAsia="宋体" w:cs="宋体"/>
                <w:sz w:val="24"/>
                <w:szCs w:val="24"/>
              </w:rPr>
            </w:pPr>
            <w:r>
              <w:rPr>
                <w:rFonts w:ascii="宋体" w:hAnsi="宋体" w:eastAsia="宋体" w:cs="宋体"/>
                <w:sz w:val="24"/>
                <w:szCs w:val="24"/>
              </w:rPr>
              <w:t>按有关法律、法规、规章不属于投标无效的</w:t>
            </w:r>
          </w:p>
        </w:tc>
        <w:tc>
          <w:tcPr>
            <w:tcW w:w="4238" w:type="dxa"/>
          </w:tcPr>
          <w:p w14:paraId="5405753C">
            <w:pPr>
              <w:pStyle w:val="47"/>
              <w:rPr>
                <w:rFonts w:hint="default" w:ascii="宋体" w:hAnsi="宋体" w:eastAsia="宋体" w:cs="宋体"/>
                <w:sz w:val="24"/>
                <w:szCs w:val="24"/>
              </w:rPr>
            </w:pPr>
            <w:r>
              <w:rPr>
                <w:rFonts w:ascii="宋体" w:hAnsi="宋体" w:eastAsia="宋体" w:cs="宋体"/>
                <w:sz w:val="24"/>
                <w:szCs w:val="24"/>
              </w:rPr>
              <w:t>按有关法律、法规、规章不属于投标无效的。</w:t>
            </w:r>
          </w:p>
        </w:tc>
      </w:tr>
    </w:tbl>
    <w:p w14:paraId="76786A4D">
      <w:pPr>
        <w:pStyle w:val="47"/>
        <w:outlineLvl w:val="3"/>
        <w:rPr>
          <w:rFonts w:hint="default" w:ascii="宋体" w:hAnsi="宋体" w:eastAsia="宋体" w:cs="宋体"/>
          <w:b/>
          <w:sz w:val="24"/>
          <w:szCs w:val="24"/>
        </w:rPr>
      </w:pPr>
    </w:p>
    <w:p w14:paraId="19040C5F">
      <w:pPr>
        <w:pStyle w:val="47"/>
        <w:outlineLvl w:val="3"/>
        <w:rPr>
          <w:rFonts w:ascii="宋体" w:hAnsi="宋体" w:eastAsia="宋体" w:cs="宋体"/>
          <w:b/>
          <w:sz w:val="24"/>
          <w:szCs w:val="24"/>
          <w:lang w:eastAsia="zh-CN"/>
        </w:rPr>
      </w:pPr>
    </w:p>
    <w:p w14:paraId="6BBCE18B"/>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40924"/>
    <w:multiLevelType w:val="singleLevel"/>
    <w:tmpl w:val="11140924"/>
    <w:lvl w:ilvl="0" w:tentative="0">
      <w:start w:val="1"/>
      <w:numFmt w:val="decimal"/>
      <w:lvlText w:val="%1."/>
      <w:lvlJc w:val="left"/>
      <w:pPr>
        <w:tabs>
          <w:tab w:val="left" w:pos="312"/>
        </w:tabs>
      </w:pPr>
    </w:lvl>
  </w:abstractNum>
  <w:abstractNum w:abstractNumId="1">
    <w:nsid w:val="1D755116"/>
    <w:multiLevelType w:val="multilevel"/>
    <w:tmpl w:val="1D755116"/>
    <w:lvl w:ilvl="0" w:tentative="0">
      <w:start w:val="1"/>
      <w:numFmt w:val="japaneseCounting"/>
      <w:lvlText w:val="%1、"/>
      <w:lvlJc w:val="left"/>
      <w:pPr>
        <w:ind w:left="600" w:hanging="6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4E35120"/>
    <w:multiLevelType w:val="multilevel"/>
    <w:tmpl w:val="24E35120"/>
    <w:lvl w:ilvl="0" w:tentative="0">
      <w:start w:val="1"/>
      <w:numFmt w:val="decimal"/>
      <w:pStyle w:val="2"/>
      <w:lvlText w:val="%1"/>
      <w:lvlJc w:val="left"/>
      <w:pPr>
        <w:ind w:left="8087"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98000E"/>
    <w:rsid w:val="000D1C57"/>
    <w:rsid w:val="000D629C"/>
    <w:rsid w:val="001475CC"/>
    <w:rsid w:val="00193D2B"/>
    <w:rsid w:val="002B4F1B"/>
    <w:rsid w:val="002F75C9"/>
    <w:rsid w:val="003B4A4A"/>
    <w:rsid w:val="004B5CFF"/>
    <w:rsid w:val="00616E24"/>
    <w:rsid w:val="00666BC8"/>
    <w:rsid w:val="006E0E60"/>
    <w:rsid w:val="00705502"/>
    <w:rsid w:val="007178F5"/>
    <w:rsid w:val="0081416F"/>
    <w:rsid w:val="00827865"/>
    <w:rsid w:val="009840B1"/>
    <w:rsid w:val="009862EE"/>
    <w:rsid w:val="009F055E"/>
    <w:rsid w:val="00A54719"/>
    <w:rsid w:val="00A76B21"/>
    <w:rsid w:val="00AB2A1A"/>
    <w:rsid w:val="00C0387C"/>
    <w:rsid w:val="00C67E2D"/>
    <w:rsid w:val="00DC7C83"/>
    <w:rsid w:val="00E3619C"/>
    <w:rsid w:val="00F44591"/>
    <w:rsid w:val="01F3205E"/>
    <w:rsid w:val="083760E5"/>
    <w:rsid w:val="091A30F8"/>
    <w:rsid w:val="0AE361A4"/>
    <w:rsid w:val="0B724955"/>
    <w:rsid w:val="0FD105E2"/>
    <w:rsid w:val="134E457F"/>
    <w:rsid w:val="1D6900A4"/>
    <w:rsid w:val="1E5E1BB8"/>
    <w:rsid w:val="1ECF3FCB"/>
    <w:rsid w:val="1F4D5BC8"/>
    <w:rsid w:val="1FAD2E10"/>
    <w:rsid w:val="20D677C3"/>
    <w:rsid w:val="21556403"/>
    <w:rsid w:val="22D24584"/>
    <w:rsid w:val="26F0797B"/>
    <w:rsid w:val="286B3025"/>
    <w:rsid w:val="2B4972E9"/>
    <w:rsid w:val="2CA56A4C"/>
    <w:rsid w:val="2F0D00F5"/>
    <w:rsid w:val="2FE362B8"/>
    <w:rsid w:val="3198000E"/>
    <w:rsid w:val="34EE46C0"/>
    <w:rsid w:val="350708E7"/>
    <w:rsid w:val="39BE2301"/>
    <w:rsid w:val="3CC277A0"/>
    <w:rsid w:val="3F993F3E"/>
    <w:rsid w:val="4631112E"/>
    <w:rsid w:val="46D13396"/>
    <w:rsid w:val="46D30331"/>
    <w:rsid w:val="49BA01FA"/>
    <w:rsid w:val="4A3869D4"/>
    <w:rsid w:val="4A41483D"/>
    <w:rsid w:val="4CEF74C6"/>
    <w:rsid w:val="518355CB"/>
    <w:rsid w:val="54137B50"/>
    <w:rsid w:val="54F15475"/>
    <w:rsid w:val="58E7416E"/>
    <w:rsid w:val="58EC5D11"/>
    <w:rsid w:val="5A692EA9"/>
    <w:rsid w:val="5CD54DC2"/>
    <w:rsid w:val="5DA47760"/>
    <w:rsid w:val="5F572DD2"/>
    <w:rsid w:val="600D791B"/>
    <w:rsid w:val="679562B6"/>
    <w:rsid w:val="684B75FD"/>
    <w:rsid w:val="6DAD043E"/>
    <w:rsid w:val="6F711C31"/>
    <w:rsid w:val="724C2284"/>
    <w:rsid w:val="745C69C8"/>
    <w:rsid w:val="761A30C8"/>
    <w:rsid w:val="76A7701A"/>
    <w:rsid w:val="77042A3B"/>
    <w:rsid w:val="77BD0907"/>
    <w:rsid w:val="7B28636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等线" w:hAnsi="等线" w:eastAsia="宋体" w:cs="Times New Roman"/>
      <w:kern w:val="2"/>
      <w:sz w:val="24"/>
      <w:szCs w:val="22"/>
      <w:lang w:val="en-US" w:eastAsia="zh-CN" w:bidi="ar-SA"/>
    </w:rPr>
  </w:style>
  <w:style w:type="paragraph" w:styleId="2">
    <w:name w:val="heading 1"/>
    <w:basedOn w:val="1"/>
    <w:next w:val="1"/>
    <w:link w:val="32"/>
    <w:qFormat/>
    <w:uiPriority w:val="9"/>
    <w:pPr>
      <w:keepNext/>
      <w:keepLines/>
      <w:numPr>
        <w:ilvl w:val="0"/>
        <w:numId w:val="1"/>
      </w:numPr>
      <w:spacing w:before="220" w:after="210"/>
      <w:outlineLvl w:val="0"/>
    </w:pPr>
    <w:rPr>
      <w:b/>
      <w:bCs/>
      <w:kern w:val="44"/>
      <w:sz w:val="32"/>
      <w:szCs w:val="44"/>
    </w:rPr>
  </w:style>
  <w:style w:type="paragraph" w:styleId="3">
    <w:name w:val="heading 2"/>
    <w:basedOn w:val="1"/>
    <w:next w:val="1"/>
    <w:link w:val="33"/>
    <w:unhideWhenUsed/>
    <w:qFormat/>
    <w:uiPriority w:val="9"/>
    <w:pPr>
      <w:keepNext/>
      <w:keepLines/>
      <w:numPr>
        <w:ilvl w:val="1"/>
        <w:numId w:val="1"/>
      </w:numPr>
      <w:spacing w:before="140" w:after="140"/>
      <w:outlineLvl w:val="1"/>
    </w:pPr>
    <w:rPr>
      <w:rFonts w:ascii="等线 Light" w:hAnsi="等线 Light"/>
      <w:b/>
      <w:bCs/>
      <w:sz w:val="28"/>
      <w:szCs w:val="32"/>
    </w:rPr>
  </w:style>
  <w:style w:type="paragraph" w:styleId="4">
    <w:name w:val="heading 3"/>
    <w:basedOn w:val="1"/>
    <w:next w:val="1"/>
    <w:link w:val="35"/>
    <w:unhideWhenUsed/>
    <w:qFormat/>
    <w:uiPriority w:val="9"/>
    <w:pPr>
      <w:keepNext/>
      <w:keepLines/>
      <w:numPr>
        <w:ilvl w:val="2"/>
        <w:numId w:val="1"/>
      </w:numPr>
      <w:spacing w:before="140" w:after="140"/>
      <w:outlineLvl w:val="2"/>
    </w:pPr>
    <w:rPr>
      <w:b/>
      <w:bCs/>
      <w:sz w:val="28"/>
      <w:szCs w:val="32"/>
    </w:rPr>
  </w:style>
  <w:style w:type="paragraph" w:styleId="5">
    <w:name w:val="heading 4"/>
    <w:basedOn w:val="1"/>
    <w:next w:val="1"/>
    <w:link w:val="34"/>
    <w:unhideWhenUsed/>
    <w:qFormat/>
    <w:uiPriority w:val="9"/>
    <w:pPr>
      <w:keepNext/>
      <w:keepLines/>
      <w:numPr>
        <w:ilvl w:val="3"/>
        <w:numId w:val="1"/>
      </w:numPr>
      <w:spacing w:before="160" w:after="170"/>
      <w:outlineLvl w:val="3"/>
    </w:pPr>
    <w:rPr>
      <w:rFonts w:ascii="等线 Light" w:hAnsi="等线 Light"/>
      <w:b/>
      <w:bCs/>
      <w:szCs w:val="28"/>
    </w:rPr>
  </w:style>
  <w:style w:type="paragraph" w:styleId="6">
    <w:name w:val="heading 5"/>
    <w:basedOn w:val="1"/>
    <w:next w:val="1"/>
    <w:link w:val="36"/>
    <w:unhideWhenUsed/>
    <w:qFormat/>
    <w:uiPriority w:val="9"/>
    <w:pPr>
      <w:keepNext/>
      <w:keepLines/>
      <w:numPr>
        <w:ilvl w:val="4"/>
        <w:numId w:val="1"/>
      </w:numPr>
      <w:spacing w:before="160" w:after="170"/>
      <w:outlineLvl w:val="4"/>
    </w:pPr>
    <w:rPr>
      <w:b/>
      <w:bCs/>
      <w:szCs w:val="28"/>
    </w:rPr>
  </w:style>
  <w:style w:type="paragraph" w:styleId="7">
    <w:name w:val="heading 6"/>
    <w:basedOn w:val="1"/>
    <w:next w:val="1"/>
    <w:link w:val="29"/>
    <w:unhideWhenUsed/>
    <w:qFormat/>
    <w:uiPriority w:val="9"/>
    <w:pPr>
      <w:keepNext/>
      <w:keepLines/>
      <w:numPr>
        <w:ilvl w:val="5"/>
        <w:numId w:val="1"/>
      </w:numPr>
      <w:spacing w:before="120"/>
      <w:outlineLvl w:val="5"/>
    </w:pPr>
    <w:rPr>
      <w:rFonts w:ascii="等线 Light" w:hAnsi="等线 Light"/>
      <w:b/>
      <w:bCs/>
      <w:szCs w:val="24"/>
    </w:rPr>
  </w:style>
  <w:style w:type="paragraph" w:styleId="8">
    <w:name w:val="heading 7"/>
    <w:basedOn w:val="1"/>
    <w:next w:val="1"/>
    <w:link w:val="38"/>
    <w:unhideWhenUsed/>
    <w:qFormat/>
    <w:uiPriority w:val="9"/>
    <w:pPr>
      <w:keepNext/>
      <w:keepLines/>
      <w:numPr>
        <w:ilvl w:val="6"/>
        <w:numId w:val="1"/>
      </w:numPr>
      <w:spacing w:before="240" w:after="64" w:line="320" w:lineRule="auto"/>
      <w:outlineLvl w:val="6"/>
    </w:pPr>
    <w:rPr>
      <w:b/>
      <w:bCs/>
      <w:szCs w:val="24"/>
    </w:rPr>
  </w:style>
  <w:style w:type="paragraph" w:styleId="9">
    <w:name w:val="heading 8"/>
    <w:basedOn w:val="1"/>
    <w:next w:val="1"/>
    <w:link w:val="37"/>
    <w:unhideWhenUsed/>
    <w:qFormat/>
    <w:uiPriority w:val="9"/>
    <w:pPr>
      <w:keepNext/>
      <w:keepLines/>
      <w:numPr>
        <w:ilvl w:val="7"/>
        <w:numId w:val="1"/>
      </w:numPr>
      <w:spacing w:before="120"/>
      <w:outlineLvl w:val="7"/>
    </w:pPr>
    <w:rPr>
      <w:rFonts w:ascii="等线 Light" w:hAnsi="等线 Light"/>
      <w:szCs w:val="24"/>
    </w:rPr>
  </w:style>
  <w:style w:type="paragraph" w:styleId="10">
    <w:name w:val="heading 9"/>
    <w:basedOn w:val="1"/>
    <w:next w:val="1"/>
    <w:link w:val="31"/>
    <w:unhideWhenUsed/>
    <w:qFormat/>
    <w:uiPriority w:val="9"/>
    <w:pPr>
      <w:keepNext/>
      <w:keepLines/>
      <w:numPr>
        <w:ilvl w:val="8"/>
        <w:numId w:val="1"/>
      </w:numPr>
      <w:spacing w:before="240" w:after="64" w:line="320" w:lineRule="auto"/>
      <w:outlineLvl w:val="8"/>
    </w:pPr>
    <w:rPr>
      <w:rFonts w:ascii="等线 Light" w:hAnsi="等线 Light" w:eastAsia="等线 Light"/>
      <w:szCs w:val="21"/>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Body Text"/>
    <w:basedOn w:val="1"/>
    <w:qFormat/>
    <w:uiPriority w:val="1"/>
    <w:pPr>
      <w:spacing w:before="36"/>
      <w:ind w:left="142"/>
      <w:jc w:val="left"/>
    </w:pPr>
    <w:rPr>
      <w:rFonts w:ascii="宋体" w:hAnsi="宋体" w:cs="宋体"/>
      <w:kern w:val="0"/>
      <w:szCs w:val="24"/>
      <w:lang w:eastAsia="en-US"/>
    </w:rPr>
  </w:style>
  <w:style w:type="paragraph" w:styleId="12">
    <w:name w:val="Balloon Text"/>
    <w:basedOn w:val="1"/>
    <w:link w:val="46"/>
    <w:unhideWhenUsed/>
    <w:qFormat/>
    <w:uiPriority w:val="99"/>
    <w:pPr>
      <w:spacing w:line="240" w:lineRule="auto"/>
    </w:pPr>
    <w:rPr>
      <w:rFonts w:asciiTheme="minorHAnsi" w:hAnsiTheme="minorHAnsi" w:eastAsiaTheme="minorEastAsia" w:cstheme="minorBidi"/>
      <w:sz w:val="18"/>
      <w:szCs w:val="18"/>
    </w:rPr>
  </w:style>
  <w:style w:type="paragraph" w:styleId="13">
    <w:name w:val="footer"/>
    <w:basedOn w:val="1"/>
    <w:link w:val="30"/>
    <w:unhideWhenUsed/>
    <w:qFormat/>
    <w:uiPriority w:val="0"/>
    <w:pPr>
      <w:tabs>
        <w:tab w:val="center" w:pos="4153"/>
        <w:tab w:val="right" w:pos="8306"/>
      </w:tabs>
      <w:snapToGrid w:val="0"/>
      <w:jc w:val="left"/>
    </w:pPr>
    <w:rPr>
      <w:sz w:val="18"/>
      <w:szCs w:val="18"/>
    </w:rPr>
  </w:style>
  <w:style w:type="paragraph" w:styleId="14">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widowControl/>
      <w:spacing w:line="240" w:lineRule="auto"/>
      <w:jc w:val="left"/>
    </w:pPr>
    <w:rPr>
      <w:rFonts w:ascii="Times New Roman" w:hAnsi="Times New Roman" w:eastAsia="Times New Roman"/>
      <w:kern w:val="0"/>
      <w:szCs w:val="24"/>
      <w:lang w:eastAsia="en-US"/>
    </w:rPr>
  </w:style>
  <w:style w:type="paragraph" w:styleId="16">
    <w:name w:val="toc 2"/>
    <w:basedOn w:val="1"/>
    <w:next w:val="1"/>
    <w:qFormat/>
    <w:uiPriority w:val="39"/>
    <w:pPr>
      <w:widowControl/>
      <w:spacing w:line="240" w:lineRule="auto"/>
      <w:ind w:left="420" w:leftChars="200"/>
      <w:jc w:val="left"/>
    </w:pPr>
    <w:rPr>
      <w:rFonts w:ascii="Times New Roman" w:hAnsi="Times New Roman" w:eastAsia="Times New Roman"/>
      <w:kern w:val="0"/>
      <w:szCs w:val="24"/>
      <w:lang w:eastAsia="en-US"/>
    </w:rPr>
  </w:style>
  <w:style w:type="paragraph" w:styleId="17">
    <w:name w:val="Body Text First Indent 2"/>
    <w:basedOn w:val="18"/>
    <w:next w:val="20"/>
    <w:semiHidden/>
    <w:unhideWhenUsed/>
    <w:qFormat/>
    <w:uiPriority w:val="99"/>
    <w:pPr>
      <w:ind w:firstLine="420" w:firstLineChars="200"/>
    </w:pPr>
  </w:style>
  <w:style w:type="paragraph" w:customStyle="1" w:styleId="18">
    <w:name w:val="正文文本缩进_0"/>
    <w:basedOn w:val="19"/>
    <w:qFormat/>
    <w:uiPriority w:val="0"/>
    <w:pPr>
      <w:spacing w:after="120"/>
      <w:ind w:left="420" w:leftChars="200"/>
    </w:pPr>
  </w:style>
  <w:style w:type="paragraph" w:customStyle="1" w:styleId="19">
    <w:name w:val="正文_0"/>
    <w:next w:val="17"/>
    <w:qFormat/>
    <w:uiPriority w:val="0"/>
    <w:rPr>
      <w:rFonts w:ascii="Times New Roman" w:hAnsi="Times New Roman" w:eastAsia="宋体" w:cs="Times New Roman"/>
      <w:sz w:val="21"/>
      <w:lang w:val="en-US" w:eastAsia="zh-CN" w:bidi="ar-SA"/>
    </w:rPr>
  </w:style>
  <w:style w:type="paragraph" w:customStyle="1" w:styleId="20">
    <w:name w:val="正文文本_0"/>
    <w:basedOn w:val="19"/>
    <w:qFormat/>
    <w:uiPriority w:val="0"/>
    <w:pPr>
      <w:spacing w:after="120"/>
    </w:p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rPr>
  </w:style>
  <w:style w:type="character" w:styleId="25">
    <w:name w:val="page number"/>
    <w:basedOn w:val="23"/>
    <w:unhideWhenUsed/>
    <w:qFormat/>
    <w:uiPriority w:val="99"/>
  </w:style>
  <w:style w:type="character" w:styleId="26">
    <w:name w:val="Hyperlink"/>
    <w:basedOn w:val="23"/>
    <w:unhideWhenUsed/>
    <w:qFormat/>
    <w:uiPriority w:val="99"/>
    <w:rPr>
      <w:color w:val="0000FF" w:themeColor="hyperlink"/>
      <w:u w:val="single"/>
      <w14:textFill>
        <w14:solidFill>
          <w14:schemeClr w14:val="hlink"/>
        </w14:solidFill>
      </w14:textFill>
    </w:rPr>
  </w:style>
  <w:style w:type="paragraph" w:styleId="27">
    <w:name w:val="List Paragraph"/>
    <w:basedOn w:val="1"/>
    <w:qFormat/>
    <w:uiPriority w:val="34"/>
    <w:pPr>
      <w:ind w:firstLine="420" w:firstLineChars="200"/>
    </w:pPr>
  </w:style>
  <w:style w:type="character" w:customStyle="1" w:styleId="28">
    <w:name w:val="页眉 Char"/>
    <w:basedOn w:val="23"/>
    <w:link w:val="14"/>
    <w:qFormat/>
    <w:uiPriority w:val="99"/>
    <w:rPr>
      <w:sz w:val="18"/>
      <w:szCs w:val="18"/>
    </w:rPr>
  </w:style>
  <w:style w:type="character" w:customStyle="1" w:styleId="29">
    <w:name w:val="标题 6 Char"/>
    <w:basedOn w:val="23"/>
    <w:link w:val="7"/>
    <w:qFormat/>
    <w:uiPriority w:val="9"/>
    <w:rPr>
      <w:rFonts w:ascii="等线 Light" w:hAnsi="等线 Light" w:eastAsia="宋体" w:cs="Times New Roman"/>
      <w:b/>
      <w:bCs/>
      <w:sz w:val="24"/>
      <w:szCs w:val="24"/>
    </w:rPr>
  </w:style>
  <w:style w:type="character" w:customStyle="1" w:styleId="30">
    <w:name w:val="页脚 Char"/>
    <w:basedOn w:val="23"/>
    <w:link w:val="13"/>
    <w:qFormat/>
    <w:uiPriority w:val="0"/>
    <w:rPr>
      <w:sz w:val="18"/>
      <w:szCs w:val="18"/>
    </w:rPr>
  </w:style>
  <w:style w:type="character" w:customStyle="1" w:styleId="31">
    <w:name w:val="标题 9 Char"/>
    <w:basedOn w:val="23"/>
    <w:link w:val="10"/>
    <w:semiHidden/>
    <w:qFormat/>
    <w:uiPriority w:val="9"/>
    <w:rPr>
      <w:rFonts w:ascii="等线 Light" w:hAnsi="等线 Light" w:eastAsia="等线 Light" w:cs="Times New Roman"/>
      <w:szCs w:val="21"/>
    </w:rPr>
  </w:style>
  <w:style w:type="character" w:customStyle="1" w:styleId="32">
    <w:name w:val="标题 1 Char"/>
    <w:basedOn w:val="23"/>
    <w:link w:val="2"/>
    <w:qFormat/>
    <w:uiPriority w:val="9"/>
    <w:rPr>
      <w:rFonts w:eastAsia="宋体"/>
      <w:b/>
      <w:bCs/>
      <w:kern w:val="44"/>
      <w:sz w:val="32"/>
      <w:szCs w:val="44"/>
    </w:rPr>
  </w:style>
  <w:style w:type="character" w:customStyle="1" w:styleId="33">
    <w:name w:val="标题 2 Char"/>
    <w:basedOn w:val="23"/>
    <w:link w:val="3"/>
    <w:qFormat/>
    <w:uiPriority w:val="9"/>
    <w:rPr>
      <w:rFonts w:ascii="等线 Light" w:hAnsi="等线 Light" w:eastAsia="宋体" w:cs="Times New Roman"/>
      <w:b/>
      <w:bCs/>
      <w:sz w:val="28"/>
      <w:szCs w:val="32"/>
    </w:rPr>
  </w:style>
  <w:style w:type="character" w:customStyle="1" w:styleId="34">
    <w:name w:val="标题 4 Char"/>
    <w:basedOn w:val="23"/>
    <w:link w:val="5"/>
    <w:qFormat/>
    <w:uiPriority w:val="9"/>
    <w:rPr>
      <w:rFonts w:ascii="等线 Light" w:hAnsi="等线 Light" w:eastAsia="宋体" w:cs="Times New Roman"/>
      <w:b/>
      <w:bCs/>
      <w:sz w:val="24"/>
      <w:szCs w:val="28"/>
    </w:rPr>
  </w:style>
  <w:style w:type="character" w:customStyle="1" w:styleId="35">
    <w:name w:val="标题 3 Char"/>
    <w:basedOn w:val="23"/>
    <w:link w:val="4"/>
    <w:qFormat/>
    <w:uiPriority w:val="9"/>
    <w:rPr>
      <w:rFonts w:eastAsia="宋体"/>
      <w:b/>
      <w:bCs/>
      <w:sz w:val="28"/>
      <w:szCs w:val="32"/>
    </w:rPr>
  </w:style>
  <w:style w:type="character" w:customStyle="1" w:styleId="36">
    <w:name w:val="标题 5 Char"/>
    <w:basedOn w:val="23"/>
    <w:link w:val="6"/>
    <w:qFormat/>
    <w:uiPriority w:val="9"/>
    <w:rPr>
      <w:rFonts w:eastAsia="宋体"/>
      <w:b/>
      <w:bCs/>
      <w:sz w:val="24"/>
      <w:szCs w:val="28"/>
    </w:rPr>
  </w:style>
  <w:style w:type="character" w:customStyle="1" w:styleId="37">
    <w:name w:val="标题 8 Char"/>
    <w:basedOn w:val="23"/>
    <w:link w:val="9"/>
    <w:qFormat/>
    <w:uiPriority w:val="9"/>
    <w:rPr>
      <w:rFonts w:ascii="等线 Light" w:hAnsi="等线 Light" w:eastAsia="宋体" w:cs="Times New Roman"/>
      <w:sz w:val="24"/>
      <w:szCs w:val="24"/>
    </w:rPr>
  </w:style>
  <w:style w:type="character" w:customStyle="1" w:styleId="38">
    <w:name w:val="标题 7 Char"/>
    <w:basedOn w:val="23"/>
    <w:link w:val="8"/>
    <w:qFormat/>
    <w:uiPriority w:val="9"/>
    <w:rPr>
      <w:b/>
      <w:bCs/>
      <w:sz w:val="24"/>
      <w:szCs w:val="24"/>
    </w:rPr>
  </w:style>
  <w:style w:type="paragraph" w:customStyle="1" w:styleId="39">
    <w:name w:val="章标题 小三黑"/>
    <w:basedOn w:val="2"/>
    <w:qFormat/>
    <w:uiPriority w:val="0"/>
    <w:pPr>
      <w:spacing w:before="500" w:after="500"/>
      <w:jc w:val="center"/>
    </w:pPr>
    <w:rPr>
      <w:rFonts w:ascii="黑体" w:hAnsi="Times New Roman" w:eastAsia="黑体" w:cs="宋体"/>
      <w:spacing w:val="-26"/>
      <w:szCs w:val="32"/>
    </w:rPr>
  </w:style>
  <w:style w:type="paragraph" w:customStyle="1" w:styleId="40">
    <w:name w:val="小节 小四 首行缩进2字符 1.5倍行距"/>
    <w:basedOn w:val="1"/>
    <w:qFormat/>
    <w:uiPriority w:val="0"/>
    <w:pPr>
      <w:keepNext/>
      <w:keepLines/>
      <w:spacing w:before="260" w:after="260"/>
      <w:ind w:left="2520"/>
      <w:outlineLvl w:val="2"/>
    </w:pPr>
    <w:rPr>
      <w:rFonts w:ascii="仿宋_GB2312" w:hAnsi="Times New Roman" w:cs="宋体"/>
      <w:b/>
      <w:bCs/>
      <w:szCs w:val="20"/>
    </w:rPr>
  </w:style>
  <w:style w:type="paragraph" w:customStyle="1" w:styleId="41">
    <w:name w:val="表格文字"/>
    <w:basedOn w:val="1"/>
    <w:qFormat/>
    <w:uiPriority w:val="0"/>
    <w:pPr>
      <w:spacing w:before="25" w:after="25"/>
      <w:jc w:val="left"/>
    </w:pPr>
    <w:rPr>
      <w:bCs/>
      <w:spacing w:val="10"/>
      <w:kern w:val="0"/>
    </w:rPr>
  </w:style>
  <w:style w:type="paragraph" w:customStyle="1" w:styleId="42">
    <w:name w:val="_Style 2"/>
    <w:qFormat/>
    <w:uiPriority w:val="1"/>
    <w:pPr>
      <w:widowControl w:val="0"/>
      <w:jc w:val="both"/>
    </w:pPr>
    <w:rPr>
      <w:rFonts w:ascii="Calibri" w:hAnsi="Calibri" w:eastAsia="宋体" w:cs="Times New Roman"/>
      <w:kern w:val="2"/>
      <w:sz w:val="21"/>
      <w:szCs w:val="22"/>
      <w:lang w:val="en-US" w:eastAsia="zh-CN" w:bidi="ar-SA"/>
    </w:rPr>
  </w:style>
  <w:style w:type="paragraph" w:customStyle="1" w:styleId="43">
    <w:name w:val="列表段落1"/>
    <w:basedOn w:val="1"/>
    <w:qFormat/>
    <w:uiPriority w:val="0"/>
    <w:pPr>
      <w:spacing w:line="240" w:lineRule="auto"/>
      <w:ind w:firstLine="420" w:firstLineChars="200"/>
    </w:pPr>
    <w:rPr>
      <w:rFonts w:ascii="Calibri" w:hAnsi="Calibri"/>
      <w:sz w:val="21"/>
      <w:szCs w:val="21"/>
    </w:rPr>
  </w:style>
  <w:style w:type="paragraph" w:customStyle="1" w:styleId="44">
    <w:name w:val="WPSOffice手动目录 1"/>
    <w:qFormat/>
    <w:uiPriority w:val="0"/>
    <w:rPr>
      <w:rFonts w:ascii="Times New Roman" w:hAnsi="Times New Roman" w:eastAsia="宋体" w:cs="Times New Roman"/>
      <w:lang w:val="en-US" w:eastAsia="zh-CN" w:bidi="ar-SA"/>
    </w:rPr>
  </w:style>
  <w:style w:type="paragraph" w:customStyle="1" w:styleId="45">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6">
    <w:name w:val="批注框文本 Char"/>
    <w:basedOn w:val="23"/>
    <w:link w:val="12"/>
    <w:qFormat/>
    <w:uiPriority w:val="99"/>
    <w:rPr>
      <w:rFonts w:asciiTheme="minorHAnsi" w:hAnsiTheme="minorHAnsi" w:eastAsiaTheme="minorEastAsia" w:cstheme="minorBidi"/>
      <w:kern w:val="2"/>
      <w:sz w:val="18"/>
      <w:szCs w:val="18"/>
    </w:rPr>
  </w:style>
  <w:style w:type="paragraph" w:customStyle="1" w:styleId="47">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3435;&#20307;-&#23567;&#22235;&#26679;&#24335;.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宋体-小四样式.wpt</Template>
  <Pages>4</Pages>
  <Words>290</Words>
  <Characters>309</Characters>
  <Lines>45</Lines>
  <Paragraphs>12</Paragraphs>
  <TotalTime>12</TotalTime>
  <ScaleCrop>false</ScaleCrop>
  <LinksUpToDate>false</LinksUpToDate>
  <CharactersWithSpaces>309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2025-08-18T08:08:00Z</dcterms:created>
  <dc:creator>skyelise</dc:creator>
  <cp:lastModifiedBy>Olivia</cp:lastModifiedBy>
  <dcterms:modified xsi:type="dcterms:W3CDTF">2026-10-28T01:14:41Z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eyJoZGlkIjoiNDMxZTkzNGUxM2JkNmUwY2VmNjk3ZGJlZjdhMzUyMGIiLCJ1c2VySWQiOiIxMTUyNDMxMDIzIn0=</vt:lpwstr>
  </property>
  <property fmtid="{D5CDD505-2E9C-101B-9397-08002B2CF9AE}" pid="4" name="ICV">
    <vt:lpwstr>9F2D02B3B5F54B6FB8C5D45BD50E79B6_13</vt:lpwstr>
  </property>
</Properties>
</file>