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CFD55C">
      <w:pPr>
        <w:kinsoku w:val="0"/>
        <w:overflowPunct w:val="0"/>
        <w:autoSpaceDE w:val="0"/>
        <w:autoSpaceDN w:val="0"/>
        <w:spacing w:before="100" w:beforeAutospacing="1" w:after="100" w:afterAutospacing="1"/>
        <w:jc w:val="center"/>
        <w:rPr>
          <w:rFonts w:ascii="宋体" w:hAnsi="宋体"/>
          <w:b/>
          <w:bCs/>
          <w:sz w:val="48"/>
          <w:szCs w:val="48"/>
        </w:rPr>
      </w:pPr>
      <w:r>
        <w:rPr>
          <w:rFonts w:hint="eastAsia" w:ascii="宋体" w:hAnsi="宋体"/>
          <w:b/>
          <w:bCs/>
          <w:sz w:val="48"/>
          <w:szCs w:val="48"/>
        </w:rPr>
        <w:t>新三甲医院第一期第一阶段信息化硬件设备</w:t>
      </w:r>
      <w:r>
        <w:rPr>
          <w:rFonts w:hint="eastAsia" w:ascii="宋体" w:hAnsi="宋体"/>
          <w:b/>
          <w:bCs/>
          <w:sz w:val="48"/>
          <w:szCs w:val="48"/>
          <w:lang w:val="en-US" w:eastAsia="zh-CN"/>
        </w:rPr>
        <w:t>及配件</w:t>
      </w:r>
    </w:p>
    <w:p w14:paraId="72071307">
      <w:pPr>
        <w:pStyle w:val="26"/>
        <w:numPr>
          <w:ilvl w:val="0"/>
          <w:numId w:val="2"/>
        </w:numPr>
        <w:ind w:firstLineChars="0"/>
        <w:outlineLvl w:val="1"/>
        <w:rPr>
          <w:rFonts w:hint="eastAsia" w:ascii="宋体" w:hAnsi="宋体" w:cs="宋体"/>
          <w:b/>
          <w:bCs/>
          <w:color w:val="000000"/>
          <w:kern w:val="0"/>
          <w:sz w:val="28"/>
          <w:szCs w:val="28"/>
        </w:rPr>
      </w:pPr>
      <w:bookmarkStart w:id="0" w:name="_Toc120739795"/>
      <w:r>
        <w:rPr>
          <w:rFonts w:hint="eastAsia" w:ascii="宋体" w:hAnsi="宋体" w:cs="宋体"/>
          <w:b/>
          <w:bCs/>
          <w:color w:val="000000"/>
          <w:kern w:val="0"/>
          <w:sz w:val="28"/>
          <w:szCs w:val="28"/>
        </w:rPr>
        <w:t>采购</w:t>
      </w:r>
      <w:bookmarkEnd w:id="0"/>
      <w:r>
        <w:rPr>
          <w:rFonts w:hint="eastAsia" w:ascii="宋体" w:hAnsi="宋体" w:cs="宋体"/>
          <w:b/>
          <w:bCs/>
          <w:color w:val="000000"/>
          <w:kern w:val="0"/>
          <w:sz w:val="28"/>
          <w:szCs w:val="28"/>
        </w:rPr>
        <w:t>内容</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88"/>
        <w:gridCol w:w="850"/>
        <w:gridCol w:w="2296"/>
        <w:gridCol w:w="1598"/>
      </w:tblGrid>
      <w:tr w14:paraId="24E62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3188" w:type="dxa"/>
            <w:vAlign w:val="center"/>
          </w:tcPr>
          <w:p w14:paraId="4C767ECC">
            <w:pPr>
              <w:jc w:val="center"/>
              <w:rPr>
                <w:rFonts w:hint="eastAsia" w:ascii="仿宋" w:hAnsi="仿宋" w:eastAsia="仿宋" w:cs="仿宋"/>
                <w:b/>
                <w:szCs w:val="21"/>
              </w:rPr>
            </w:pPr>
            <w:r>
              <w:rPr>
                <w:rFonts w:hint="eastAsia" w:ascii="仿宋" w:hAnsi="仿宋" w:eastAsia="仿宋" w:cs="仿宋"/>
                <w:b/>
                <w:szCs w:val="21"/>
              </w:rPr>
              <w:t>标的名称</w:t>
            </w:r>
          </w:p>
        </w:tc>
        <w:tc>
          <w:tcPr>
            <w:tcW w:w="850" w:type="dxa"/>
            <w:vAlign w:val="center"/>
          </w:tcPr>
          <w:p w14:paraId="67132CF6">
            <w:pPr>
              <w:jc w:val="center"/>
              <w:rPr>
                <w:rFonts w:hint="eastAsia" w:ascii="仿宋" w:hAnsi="仿宋" w:eastAsia="仿宋" w:cs="仿宋"/>
                <w:b/>
                <w:szCs w:val="21"/>
              </w:rPr>
            </w:pPr>
            <w:r>
              <w:rPr>
                <w:rFonts w:hint="eastAsia" w:ascii="仿宋" w:hAnsi="仿宋" w:eastAsia="仿宋" w:cs="仿宋"/>
                <w:b/>
                <w:szCs w:val="21"/>
              </w:rPr>
              <w:t>数量</w:t>
            </w:r>
          </w:p>
        </w:tc>
        <w:tc>
          <w:tcPr>
            <w:tcW w:w="2296" w:type="dxa"/>
            <w:vAlign w:val="center"/>
          </w:tcPr>
          <w:p w14:paraId="4BADC306">
            <w:pPr>
              <w:jc w:val="center"/>
              <w:rPr>
                <w:rFonts w:hint="eastAsia" w:ascii="仿宋" w:hAnsi="仿宋" w:eastAsia="仿宋" w:cs="仿宋"/>
                <w:b/>
                <w:szCs w:val="21"/>
              </w:rPr>
            </w:pPr>
            <w:r>
              <w:rPr>
                <w:rFonts w:hint="eastAsia" w:ascii="仿宋" w:hAnsi="仿宋" w:eastAsia="仿宋" w:cs="仿宋"/>
                <w:b/>
                <w:szCs w:val="21"/>
              </w:rPr>
              <w:t>最高限价（元）</w:t>
            </w:r>
          </w:p>
        </w:tc>
        <w:tc>
          <w:tcPr>
            <w:tcW w:w="1598" w:type="dxa"/>
            <w:vAlign w:val="center"/>
          </w:tcPr>
          <w:p w14:paraId="29628F41">
            <w:pPr>
              <w:jc w:val="center"/>
              <w:rPr>
                <w:rFonts w:hint="eastAsia" w:ascii="仿宋" w:hAnsi="仿宋" w:eastAsia="仿宋" w:cs="仿宋"/>
                <w:b/>
                <w:szCs w:val="21"/>
              </w:rPr>
            </w:pPr>
            <w:r>
              <w:rPr>
                <w:rFonts w:hint="eastAsia" w:ascii="仿宋" w:hAnsi="仿宋" w:eastAsia="仿宋" w:cs="仿宋"/>
                <w:b/>
                <w:szCs w:val="21"/>
              </w:rPr>
              <w:t>标的类型</w:t>
            </w:r>
          </w:p>
        </w:tc>
      </w:tr>
      <w:tr w14:paraId="3BE7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3188" w:type="dxa"/>
            <w:vAlign w:val="center"/>
          </w:tcPr>
          <w:p w14:paraId="11B32EC6">
            <w:pPr>
              <w:jc w:val="center"/>
              <w:rPr>
                <w:rFonts w:hint="default" w:ascii="仿宋" w:hAnsi="仿宋" w:eastAsia="仿宋" w:cs="仿宋"/>
                <w:bCs/>
                <w:szCs w:val="21"/>
                <w:lang w:val="en-US" w:eastAsia="zh-CN"/>
              </w:rPr>
            </w:pPr>
            <w:r>
              <w:rPr>
                <w:rFonts w:hint="eastAsia" w:ascii="仿宋" w:hAnsi="仿宋" w:eastAsia="仿宋" w:cs="仿宋"/>
                <w:bCs/>
                <w:szCs w:val="21"/>
              </w:rPr>
              <w:t>新三甲医院第一期第一阶段信息化硬件设备</w:t>
            </w:r>
            <w:r>
              <w:rPr>
                <w:rFonts w:hint="eastAsia" w:ascii="仿宋" w:hAnsi="仿宋" w:eastAsia="仿宋" w:cs="仿宋"/>
                <w:bCs/>
                <w:szCs w:val="21"/>
                <w:lang w:val="en-US" w:eastAsia="zh-CN"/>
              </w:rPr>
              <w:t>及配件</w:t>
            </w:r>
          </w:p>
        </w:tc>
        <w:tc>
          <w:tcPr>
            <w:tcW w:w="850" w:type="dxa"/>
            <w:vAlign w:val="center"/>
          </w:tcPr>
          <w:p w14:paraId="2C056EAC">
            <w:pPr>
              <w:jc w:val="center"/>
              <w:rPr>
                <w:rFonts w:ascii="仿宋" w:hAnsi="仿宋" w:eastAsia="仿宋" w:cs="仿宋"/>
                <w:bCs/>
                <w:szCs w:val="21"/>
              </w:rPr>
            </w:pPr>
            <w:r>
              <w:rPr>
                <w:rFonts w:hint="eastAsia" w:ascii="仿宋" w:hAnsi="仿宋" w:eastAsia="仿宋" w:cs="仿宋"/>
                <w:bCs/>
                <w:szCs w:val="21"/>
              </w:rPr>
              <w:t>1批</w:t>
            </w:r>
          </w:p>
        </w:tc>
        <w:tc>
          <w:tcPr>
            <w:tcW w:w="2296" w:type="dxa"/>
            <w:vAlign w:val="center"/>
          </w:tcPr>
          <w:p w14:paraId="02CC1F9B">
            <w:pPr>
              <w:jc w:val="center"/>
              <w:rPr>
                <w:rFonts w:hint="eastAsia" w:ascii="仿宋" w:hAnsi="仿宋" w:eastAsia="仿宋" w:cs="仿宋"/>
                <w:bCs/>
                <w:szCs w:val="21"/>
              </w:rPr>
            </w:pPr>
            <w:r>
              <w:rPr>
                <w:rFonts w:hint="eastAsia" w:ascii="仿宋" w:hAnsi="仿宋" w:eastAsia="仿宋" w:cs="仿宋"/>
                <w:bCs/>
                <w:szCs w:val="21"/>
              </w:rPr>
              <w:t>￥</w:t>
            </w:r>
            <w:r>
              <w:rPr>
                <w:rFonts w:hint="eastAsia" w:ascii="仿宋" w:hAnsi="仿宋" w:eastAsia="仿宋" w:cs="仿宋"/>
                <w:bCs/>
                <w:szCs w:val="21"/>
                <w:lang w:val="en-US" w:eastAsia="zh-CN"/>
              </w:rPr>
              <w:t>2874</w:t>
            </w:r>
            <w:r>
              <w:rPr>
                <w:rFonts w:hint="eastAsia" w:ascii="仿宋" w:hAnsi="仿宋" w:eastAsia="仿宋" w:cs="仿宋"/>
                <w:bCs/>
                <w:szCs w:val="21"/>
              </w:rPr>
              <w:t>00.00</w:t>
            </w:r>
          </w:p>
        </w:tc>
        <w:tc>
          <w:tcPr>
            <w:tcW w:w="1598" w:type="dxa"/>
            <w:vAlign w:val="center"/>
          </w:tcPr>
          <w:p w14:paraId="585ED107">
            <w:pPr>
              <w:jc w:val="center"/>
              <w:rPr>
                <w:rFonts w:ascii="仿宋" w:hAnsi="仿宋" w:eastAsia="仿宋" w:cs="仿宋"/>
                <w:bCs/>
                <w:szCs w:val="21"/>
              </w:rPr>
            </w:pPr>
            <w:r>
              <w:rPr>
                <w:rFonts w:hint="eastAsia" w:ascii="仿宋" w:hAnsi="仿宋" w:eastAsia="仿宋" w:cs="仿宋"/>
                <w:bCs/>
                <w:szCs w:val="21"/>
              </w:rPr>
              <w:t>货物类</w:t>
            </w:r>
          </w:p>
        </w:tc>
      </w:tr>
    </w:tbl>
    <w:p w14:paraId="0FEE6676">
      <w:pPr>
        <w:pStyle w:val="2"/>
        <w:rPr>
          <w:rFonts w:hint="eastAsia"/>
          <w:lang w:eastAsia="zh-CN"/>
        </w:rPr>
      </w:pPr>
    </w:p>
    <w:p w14:paraId="2505B411">
      <w:pPr>
        <w:pStyle w:val="26"/>
        <w:numPr>
          <w:ilvl w:val="0"/>
          <w:numId w:val="2"/>
        </w:numPr>
        <w:ind w:firstLineChars="0"/>
        <w:outlineLvl w:val="1"/>
        <w:rPr>
          <w:rFonts w:ascii="宋体" w:hAnsi="宋体" w:cs="宋体"/>
          <w:b/>
          <w:bCs/>
          <w:color w:val="000000"/>
          <w:kern w:val="0"/>
          <w:sz w:val="28"/>
          <w:szCs w:val="28"/>
        </w:rPr>
      </w:pPr>
      <w:r>
        <w:rPr>
          <w:rFonts w:hint="eastAsia" w:ascii="宋体" w:hAnsi="宋体" w:cs="宋体"/>
          <w:b/>
          <w:bCs/>
          <w:color w:val="000000"/>
          <w:kern w:val="0"/>
          <w:sz w:val="28"/>
          <w:szCs w:val="28"/>
        </w:rPr>
        <w:t>采购清单及技术要求</w:t>
      </w:r>
    </w:p>
    <w:tbl>
      <w:tblPr>
        <w:tblStyle w:val="2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0"/>
        <w:gridCol w:w="1284"/>
        <w:gridCol w:w="5575"/>
        <w:gridCol w:w="1073"/>
      </w:tblGrid>
      <w:tr w14:paraId="57D3B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90" w:type="dxa"/>
            <w:noWrap/>
          </w:tcPr>
          <w:p w14:paraId="3AA26754">
            <w:pPr>
              <w:rPr>
                <w:b/>
                <w:bCs/>
              </w:rPr>
            </w:pPr>
            <w:r>
              <w:rPr>
                <w:rFonts w:hint="eastAsia"/>
                <w:b/>
                <w:bCs/>
              </w:rPr>
              <w:t>序号</w:t>
            </w:r>
          </w:p>
        </w:tc>
        <w:tc>
          <w:tcPr>
            <w:tcW w:w="1284" w:type="dxa"/>
            <w:noWrap/>
          </w:tcPr>
          <w:p w14:paraId="0785C66A">
            <w:pPr>
              <w:rPr>
                <w:b/>
                <w:bCs/>
              </w:rPr>
            </w:pPr>
            <w:r>
              <w:rPr>
                <w:rFonts w:hint="eastAsia"/>
                <w:b/>
                <w:bCs/>
              </w:rPr>
              <w:t>名称</w:t>
            </w:r>
          </w:p>
        </w:tc>
        <w:tc>
          <w:tcPr>
            <w:tcW w:w="5575" w:type="dxa"/>
          </w:tcPr>
          <w:p w14:paraId="484DD45B">
            <w:pPr>
              <w:rPr>
                <w:b/>
                <w:bCs/>
              </w:rPr>
            </w:pPr>
            <w:r>
              <w:rPr>
                <w:rFonts w:hint="eastAsia"/>
                <w:b/>
                <w:bCs/>
              </w:rPr>
              <w:t>主要技术参数</w:t>
            </w:r>
          </w:p>
        </w:tc>
        <w:tc>
          <w:tcPr>
            <w:tcW w:w="1073" w:type="dxa"/>
            <w:noWrap/>
          </w:tcPr>
          <w:p w14:paraId="634ECB98">
            <w:pPr>
              <w:rPr>
                <w:b/>
                <w:bCs/>
              </w:rPr>
            </w:pPr>
            <w:r>
              <w:rPr>
                <w:rFonts w:hint="eastAsia"/>
                <w:b/>
                <w:bCs/>
              </w:rPr>
              <w:t>数量</w:t>
            </w:r>
          </w:p>
        </w:tc>
      </w:tr>
      <w:tr w14:paraId="24F86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90" w:type="dxa"/>
            <w:noWrap/>
          </w:tcPr>
          <w:p w14:paraId="4E7502ED">
            <w:pPr>
              <w:rPr>
                <w:b/>
                <w:bCs/>
              </w:rPr>
            </w:pPr>
            <w:r>
              <w:rPr>
                <w:rFonts w:hint="eastAsia"/>
                <w:b/>
                <w:bCs/>
              </w:rPr>
              <w:t>1</w:t>
            </w:r>
          </w:p>
        </w:tc>
        <w:tc>
          <w:tcPr>
            <w:tcW w:w="1284" w:type="dxa"/>
            <w:noWrap/>
          </w:tcPr>
          <w:p w14:paraId="7BAD1EAB">
            <w:pPr>
              <w:rPr>
                <w:rFonts w:hint="default" w:eastAsia="宋体"/>
                <w:lang w:val="en-US" w:eastAsia="zh-CN"/>
              </w:rPr>
            </w:pPr>
            <w:r>
              <w:rPr>
                <w:rFonts w:hint="eastAsia"/>
                <w:lang w:val="en-US" w:eastAsia="zh-CN"/>
              </w:rPr>
              <w:t>超融合服务器</w:t>
            </w:r>
          </w:p>
        </w:tc>
        <w:tc>
          <w:tcPr>
            <w:tcW w:w="5575" w:type="dxa"/>
            <w:noWrap/>
          </w:tcPr>
          <w:p w14:paraId="40A9CB4E">
            <w:pPr>
              <w:numPr>
                <w:ilvl w:val="0"/>
                <w:numId w:val="3"/>
              </w:numPr>
              <w:rPr>
                <w:rFonts w:hint="eastAsia"/>
              </w:rPr>
            </w:pPr>
            <w:r>
              <w:rPr>
                <w:rFonts w:hint="eastAsia"/>
              </w:rPr>
              <w:t>硬件参数：规格：2U，CPU：2颗AMD Genoa 9354 32C 3.25GHz（32C），</w:t>
            </w:r>
          </w:p>
          <w:p w14:paraId="33F70DD4">
            <w:pPr>
              <w:numPr>
                <w:ilvl w:val="0"/>
                <w:numId w:val="3"/>
              </w:numPr>
              <w:rPr>
                <w:rFonts w:hint="eastAsia"/>
              </w:rPr>
            </w:pPr>
            <w:r>
              <w:rPr>
                <w:rFonts w:hint="eastAsia"/>
              </w:rPr>
              <w:t>内存：8*32GB DDR5 5600，</w:t>
            </w:r>
          </w:p>
          <w:p w14:paraId="2DEA28ED">
            <w:pPr>
              <w:numPr>
                <w:ilvl w:val="0"/>
                <w:numId w:val="3"/>
              </w:numPr>
              <w:rPr>
                <w:rFonts w:hint="eastAsia"/>
              </w:rPr>
            </w:pPr>
            <w:r>
              <w:rPr>
                <w:rFonts w:hint="eastAsia"/>
              </w:rPr>
              <w:t>系统盘：2*480GB SATA SSD，缓存盘：1*3.84TB U.2 NVME SSD，数据盘：4*8TB，标配盘位数：12，</w:t>
            </w:r>
          </w:p>
          <w:p w14:paraId="5A0BF135">
            <w:pPr>
              <w:numPr>
                <w:ilvl w:val="0"/>
                <w:numId w:val="3"/>
              </w:numPr>
            </w:pPr>
            <w:r>
              <w:rPr>
                <w:rFonts w:hint="eastAsia"/>
              </w:rPr>
              <w:t>电源</w:t>
            </w:r>
            <w:r>
              <w:rPr>
                <w:rFonts w:hint="eastAsia"/>
                <w:lang w:eastAsia="zh-CN"/>
              </w:rPr>
              <w:t>：</w:t>
            </w:r>
            <w:r>
              <w:rPr>
                <w:rFonts w:hint="eastAsia"/>
              </w:rPr>
              <w:t>白金，冗余电源，接口：4千兆电口+2万兆光口。</w:t>
            </w:r>
          </w:p>
        </w:tc>
        <w:tc>
          <w:tcPr>
            <w:tcW w:w="1073" w:type="dxa"/>
            <w:noWrap/>
          </w:tcPr>
          <w:p w14:paraId="049980B2">
            <w:pPr>
              <w:rPr>
                <w:rFonts w:hint="eastAsia" w:eastAsia="宋体"/>
                <w:b/>
                <w:bCs/>
                <w:lang w:eastAsia="zh-CN"/>
              </w:rPr>
            </w:pPr>
            <w:r>
              <w:rPr>
                <w:rFonts w:hint="eastAsia"/>
                <w:b/>
                <w:bCs/>
                <w:lang w:val="en-US" w:eastAsia="zh-CN"/>
              </w:rPr>
              <w:t>1</w:t>
            </w:r>
          </w:p>
        </w:tc>
      </w:tr>
      <w:tr w14:paraId="18417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90" w:type="dxa"/>
            <w:noWrap/>
          </w:tcPr>
          <w:p w14:paraId="39B1468B">
            <w:pPr>
              <w:rPr>
                <w:b/>
                <w:bCs/>
              </w:rPr>
            </w:pPr>
            <w:r>
              <w:rPr>
                <w:rFonts w:hint="eastAsia"/>
                <w:b/>
                <w:bCs/>
              </w:rPr>
              <w:t>2</w:t>
            </w:r>
          </w:p>
        </w:tc>
        <w:tc>
          <w:tcPr>
            <w:tcW w:w="1284" w:type="dxa"/>
            <w:noWrap/>
          </w:tcPr>
          <w:p w14:paraId="7031678B">
            <w:pPr>
              <w:rPr>
                <w:rFonts w:hint="default" w:eastAsia="宋体"/>
                <w:lang w:val="en-US" w:eastAsia="zh-CN"/>
              </w:rPr>
            </w:pPr>
            <w:r>
              <w:rPr>
                <w:rFonts w:hint="eastAsia"/>
                <w:lang w:val="en-US" w:eastAsia="zh-CN"/>
              </w:rPr>
              <w:t>针式打印机</w:t>
            </w:r>
          </w:p>
        </w:tc>
        <w:tc>
          <w:tcPr>
            <w:tcW w:w="5575" w:type="dxa"/>
            <w:noWrap/>
          </w:tcPr>
          <w:p w14:paraId="6C8D5A1F">
            <w:pPr>
              <w:rPr>
                <w:rFonts w:hint="eastAsia"/>
              </w:rPr>
            </w:pPr>
            <w:r>
              <w:rPr>
                <w:rFonts w:hint="eastAsia"/>
                <w:lang w:val="en-US" w:eastAsia="zh-CN"/>
              </w:rPr>
              <w:t>1.</w:t>
            </w:r>
            <w:r>
              <w:rPr>
                <w:rFonts w:hint="eastAsia"/>
              </w:rPr>
              <w:t>打印方式</w:t>
            </w:r>
            <w:r>
              <w:rPr>
                <w:rFonts w:hint="eastAsia"/>
                <w:lang w:eastAsia="zh-CN"/>
              </w:rPr>
              <w:t>：</w:t>
            </w:r>
            <w:r>
              <w:rPr>
                <w:rFonts w:hint="eastAsia"/>
              </w:rPr>
              <w:t>串行点阵击打式</w:t>
            </w:r>
            <w:r>
              <w:rPr>
                <w:rFonts w:hint="eastAsia"/>
                <w:lang w:eastAsia="zh-CN"/>
              </w:rPr>
              <w:t>，</w:t>
            </w:r>
            <w:r>
              <w:rPr>
                <w:rFonts w:hint="eastAsia"/>
              </w:rPr>
              <w:t>单、双向逻辑选距，可编程选择单、双向打印、图形双向打印</w:t>
            </w:r>
          </w:p>
          <w:p w14:paraId="1CAF93B1">
            <w:pPr>
              <w:rPr>
                <w:rFonts w:hint="eastAsia" w:eastAsia="宋体"/>
                <w:lang w:eastAsia="zh-CN"/>
              </w:rPr>
            </w:pPr>
            <w:r>
              <w:rPr>
                <w:rFonts w:hint="eastAsia"/>
                <w:lang w:val="en-US" w:eastAsia="zh-CN"/>
              </w:rPr>
              <w:t>2.</w:t>
            </w:r>
            <w:r>
              <w:rPr>
                <w:rFonts w:hint="eastAsia"/>
              </w:rPr>
              <w:t>★打印头针数：24针</w:t>
            </w:r>
            <w:r>
              <w:rPr>
                <w:rFonts w:hint="eastAsia"/>
                <w:lang w:eastAsia="zh-CN"/>
              </w:rPr>
              <w:t>，</w:t>
            </w:r>
            <w:r>
              <w:rPr>
                <w:rFonts w:hint="eastAsia"/>
              </w:rPr>
              <w:t>寿命：4亿次/针</w:t>
            </w:r>
            <w:r>
              <w:rPr>
                <w:rFonts w:hint="eastAsia"/>
                <w:lang w:eastAsia="zh-CN"/>
              </w:rPr>
              <w:t>；</w:t>
            </w:r>
          </w:p>
          <w:p w14:paraId="479A2653">
            <w:pPr>
              <w:rPr>
                <w:rFonts w:hint="eastAsia"/>
              </w:rPr>
            </w:pPr>
            <w:r>
              <w:rPr>
                <w:rFonts w:hint="eastAsia"/>
              </w:rPr>
              <w:t>针距：1/180”</w:t>
            </w:r>
            <w:r>
              <w:rPr>
                <w:rFonts w:hint="eastAsia"/>
                <w:lang w:eastAsia="zh-CN"/>
              </w:rPr>
              <w:t>，</w:t>
            </w:r>
            <w:r>
              <w:rPr>
                <w:rFonts w:hint="eastAsia"/>
              </w:rPr>
              <w:t>针直径：0.2mm</w:t>
            </w:r>
          </w:p>
          <w:p w14:paraId="18142D32">
            <w:pPr>
              <w:rPr>
                <w:rFonts w:hint="eastAsia"/>
              </w:rPr>
            </w:pPr>
            <w:r>
              <w:rPr>
                <w:rFonts w:hint="eastAsia"/>
                <w:lang w:val="en-US" w:eastAsia="zh-CN"/>
              </w:rPr>
              <w:t>3.</w:t>
            </w:r>
            <w:r>
              <w:rPr>
                <w:rFonts w:hint="eastAsia"/>
              </w:rPr>
              <w:t>字体</w:t>
            </w:r>
            <w:r>
              <w:rPr>
                <w:rFonts w:hint="eastAsia"/>
                <w:lang w:eastAsia="zh-CN"/>
              </w:rPr>
              <w:t>：</w:t>
            </w:r>
            <w:r>
              <w:rPr>
                <w:rFonts w:hint="eastAsia"/>
              </w:rPr>
              <w:t>英文：罗马，OCR-A，OCR-B</w:t>
            </w:r>
            <w:r>
              <w:rPr>
                <w:rFonts w:hint="eastAsia"/>
                <w:lang w:eastAsia="zh-CN"/>
              </w:rPr>
              <w:t>，</w:t>
            </w:r>
            <w:r>
              <w:rPr>
                <w:rFonts w:hint="eastAsia"/>
              </w:rPr>
              <w:t xml:space="preserve">汉字：宋体 </w:t>
            </w:r>
            <w:r>
              <w:rPr>
                <w:rFonts w:hint="eastAsia"/>
                <w:lang w:eastAsia="zh-CN"/>
              </w:rPr>
              <w:t>，</w:t>
            </w:r>
            <w:r>
              <w:rPr>
                <w:rFonts w:hint="eastAsia"/>
              </w:rPr>
              <w:t>半角ASCII：宋体、等线体、美术体</w:t>
            </w:r>
          </w:p>
          <w:p w14:paraId="53684D63">
            <w:pPr>
              <w:rPr>
                <w:rFonts w:hint="eastAsia" w:eastAsia="宋体"/>
                <w:lang w:eastAsia="zh-CN"/>
              </w:rPr>
            </w:pPr>
            <w:r>
              <w:rPr>
                <w:rFonts w:hint="eastAsia"/>
                <w:lang w:val="en-US" w:eastAsia="zh-CN"/>
              </w:rPr>
              <w:t>4.</w:t>
            </w:r>
            <w:r>
              <w:rPr>
                <w:rFonts w:hint="eastAsia"/>
              </w:rPr>
              <w:t>字符集</w:t>
            </w:r>
            <w:r>
              <w:rPr>
                <w:rFonts w:hint="eastAsia"/>
                <w:lang w:eastAsia="zh-CN"/>
              </w:rPr>
              <w:t>：</w:t>
            </w:r>
            <w:r>
              <w:rPr>
                <w:rFonts w:hint="eastAsia"/>
              </w:rPr>
              <w:t>英文：标准字符组、IBM字符组、OCR-A、OCR-B字符组</w:t>
            </w:r>
            <w:r>
              <w:rPr>
                <w:rFonts w:hint="eastAsia"/>
                <w:lang w:eastAsia="zh-CN"/>
              </w:rPr>
              <w:t>，</w:t>
            </w:r>
            <w:r>
              <w:rPr>
                <w:rFonts w:hint="eastAsia"/>
              </w:rPr>
              <w:t>汉字GB18030：21887个</w:t>
            </w:r>
            <w:r>
              <w:rPr>
                <w:rFonts w:hint="eastAsia"/>
                <w:lang w:eastAsia="zh-CN"/>
              </w:rPr>
              <w:t>；</w:t>
            </w:r>
          </w:p>
          <w:p w14:paraId="3FBC2479">
            <w:pPr>
              <w:rPr>
                <w:rFonts w:hint="eastAsia" w:eastAsia="宋体"/>
                <w:lang w:eastAsia="zh-CN"/>
              </w:rPr>
            </w:pPr>
            <w:r>
              <w:rPr>
                <w:rFonts w:hint="eastAsia"/>
              </w:rPr>
              <w:t>半角ASCII字符：96个</w:t>
            </w:r>
            <w:r>
              <w:rPr>
                <w:rFonts w:hint="eastAsia"/>
                <w:lang w:eastAsia="zh-CN"/>
              </w:rPr>
              <w:t>；</w:t>
            </w:r>
            <w:r>
              <w:rPr>
                <w:rFonts w:hint="eastAsia"/>
              </w:rPr>
              <w:t>国际字符组：15组</w:t>
            </w:r>
            <w:r>
              <w:rPr>
                <w:rFonts w:hint="eastAsia"/>
                <w:lang w:eastAsia="zh-CN"/>
              </w:rPr>
              <w:t>；</w:t>
            </w:r>
          </w:p>
          <w:p w14:paraId="7BEE24B5">
            <w:pPr>
              <w:rPr>
                <w:rFonts w:hint="eastAsia"/>
              </w:rPr>
            </w:pPr>
            <w:r>
              <w:rPr>
                <w:rFonts w:hint="eastAsia"/>
              </w:rPr>
              <w:t>用户造字： 中文94个</w:t>
            </w:r>
            <w:r>
              <w:rPr>
                <w:rFonts w:hint="eastAsia"/>
                <w:lang w:eastAsia="zh-CN"/>
              </w:rPr>
              <w:t>，</w:t>
            </w:r>
            <w:r>
              <w:rPr>
                <w:rFonts w:hint="eastAsia"/>
              </w:rPr>
              <w:t>英文94个</w:t>
            </w:r>
          </w:p>
          <w:p w14:paraId="4D1ACEC5">
            <w:pPr>
              <w:rPr>
                <w:rFonts w:hint="eastAsia"/>
              </w:rPr>
            </w:pPr>
            <w:r>
              <w:rPr>
                <w:rFonts w:hint="eastAsia"/>
                <w:lang w:val="en-US" w:eastAsia="zh-CN"/>
              </w:rPr>
              <w:t>5.</w:t>
            </w:r>
            <w:r>
              <w:rPr>
                <w:rFonts w:hint="eastAsia"/>
              </w:rPr>
              <w:t>仿真能</w:t>
            </w:r>
            <w:r>
              <w:rPr>
                <w:rFonts w:hint="eastAsia"/>
                <w:lang w:eastAsia="zh-CN"/>
              </w:rPr>
              <w:t>：</w:t>
            </w:r>
            <w:r>
              <w:rPr>
                <w:rFonts w:hint="eastAsia"/>
              </w:rPr>
              <w:t>ESC/P、LQ、OKI、LQ-300K仿真</w:t>
            </w:r>
          </w:p>
          <w:p w14:paraId="2B88336A">
            <w:pPr>
              <w:rPr>
                <w:rFonts w:hint="eastAsia"/>
              </w:rPr>
            </w:pPr>
            <w:r>
              <w:rPr>
                <w:rFonts w:hint="eastAsia"/>
                <w:lang w:val="en-US" w:eastAsia="zh-CN"/>
              </w:rPr>
              <w:t>6.</w:t>
            </w:r>
            <w:r>
              <w:rPr>
                <w:rFonts w:hint="eastAsia"/>
              </w:rPr>
              <w:t>接口</w:t>
            </w:r>
            <w:r>
              <w:rPr>
                <w:rFonts w:hint="eastAsia"/>
                <w:lang w:eastAsia="zh-CN"/>
              </w:rPr>
              <w:t>：</w:t>
            </w:r>
            <w:r>
              <w:rPr>
                <w:rFonts w:hint="eastAsia"/>
              </w:rPr>
              <w:t>USB接口</w:t>
            </w:r>
          </w:p>
          <w:p w14:paraId="42FC2E89">
            <w:pPr>
              <w:rPr>
                <w:rFonts w:hint="eastAsia"/>
              </w:rPr>
            </w:pPr>
            <w:r>
              <w:rPr>
                <w:rFonts w:hint="eastAsia"/>
                <w:lang w:val="en-US" w:eastAsia="zh-CN"/>
              </w:rPr>
              <w:t>7.</w:t>
            </w:r>
            <w:r>
              <w:rPr>
                <w:rFonts w:hint="eastAsia"/>
              </w:rPr>
              <w:t>缓冲容量</w:t>
            </w:r>
            <w:r>
              <w:rPr>
                <w:rFonts w:hint="eastAsia"/>
                <w:lang w:eastAsia="zh-CN"/>
              </w:rPr>
              <w:t>：</w:t>
            </w:r>
            <w:r>
              <w:rPr>
                <w:rFonts w:hint="eastAsia"/>
              </w:rPr>
              <w:t>128K字节</w:t>
            </w:r>
          </w:p>
          <w:p w14:paraId="23851ACB">
            <w:pPr>
              <w:rPr>
                <w:rFonts w:hint="eastAsia"/>
              </w:rPr>
            </w:pPr>
            <w:r>
              <w:rPr>
                <w:rFonts w:hint="eastAsia"/>
                <w:lang w:val="en-US" w:eastAsia="zh-CN"/>
              </w:rPr>
              <w:t>8.</w:t>
            </w:r>
            <w:r>
              <w:rPr>
                <w:rFonts w:hint="eastAsia"/>
              </w:rPr>
              <w:t>送纸方式</w:t>
            </w:r>
            <w:r>
              <w:rPr>
                <w:rFonts w:hint="eastAsia"/>
              </w:rPr>
              <w:tab/>
            </w:r>
            <w:r>
              <w:rPr>
                <w:rFonts w:hint="eastAsia"/>
              </w:rPr>
              <w:t>摩擦送纸及推/拉链式送纸             送纸速度：5英寸/秒</w:t>
            </w:r>
          </w:p>
          <w:p w14:paraId="453B9A11">
            <w:pPr>
              <w:rPr>
                <w:rFonts w:hint="eastAsia" w:eastAsia="宋体"/>
                <w:lang w:eastAsia="zh-CN"/>
              </w:rPr>
            </w:pPr>
            <w:r>
              <w:rPr>
                <w:rFonts w:hint="eastAsia"/>
                <w:lang w:val="en-US" w:eastAsia="zh-CN"/>
              </w:rPr>
              <w:t>9.</w:t>
            </w:r>
            <w:r>
              <w:rPr>
                <w:rFonts w:hint="eastAsia"/>
              </w:rPr>
              <w:t>★纸宽，纸厚</w:t>
            </w:r>
            <w:r>
              <w:rPr>
                <w:rFonts w:hint="eastAsia"/>
              </w:rPr>
              <w:tab/>
            </w:r>
            <w:r>
              <w:rPr>
                <w:rFonts w:hint="eastAsia"/>
              </w:rPr>
              <w:t>单页：76.2—254mm</w:t>
            </w:r>
            <w:r>
              <w:rPr>
                <w:rFonts w:hint="eastAsia"/>
                <w:lang w:eastAsia="zh-CN"/>
              </w:rPr>
              <w:t>；</w:t>
            </w:r>
            <w:r>
              <w:rPr>
                <w:rFonts w:hint="eastAsia"/>
              </w:rPr>
              <w:t>连续纸：76.2—270mm</w:t>
            </w:r>
            <w:r>
              <w:rPr>
                <w:rFonts w:hint="eastAsia"/>
                <w:lang w:eastAsia="zh-CN"/>
              </w:rPr>
              <w:t>；</w:t>
            </w:r>
            <w:r>
              <w:rPr>
                <w:rFonts w:hint="eastAsia"/>
              </w:rPr>
              <w:t>复印能力：正本+6份</w:t>
            </w:r>
            <w:r>
              <w:rPr>
                <w:rFonts w:hint="eastAsia"/>
                <w:lang w:eastAsia="zh-CN"/>
              </w:rPr>
              <w:t>；</w:t>
            </w:r>
            <w:r>
              <w:rPr>
                <w:rFonts w:hint="eastAsia"/>
              </w:rPr>
              <w:t>最大打印厚度：0.45mm</w:t>
            </w:r>
            <w:r>
              <w:rPr>
                <w:rFonts w:hint="eastAsia"/>
                <w:lang w:eastAsia="zh-CN"/>
              </w:rPr>
              <w:t>。</w:t>
            </w:r>
          </w:p>
          <w:p w14:paraId="4F01D398">
            <w:pPr>
              <w:rPr>
                <w:rFonts w:hint="eastAsia"/>
              </w:rPr>
            </w:pPr>
            <w:r>
              <w:rPr>
                <w:rFonts w:hint="eastAsia"/>
                <w:lang w:val="en-US" w:eastAsia="zh-CN"/>
              </w:rPr>
              <w:t>10.</w:t>
            </w:r>
            <w:r>
              <w:rPr>
                <w:rFonts w:hint="eastAsia"/>
              </w:rPr>
              <w:t>操作环境</w:t>
            </w:r>
            <w:r>
              <w:rPr>
                <w:rFonts w:hint="eastAsia"/>
                <w:lang w:eastAsia="zh-CN"/>
              </w:rPr>
              <w:t>：</w:t>
            </w:r>
            <w:r>
              <w:rPr>
                <w:rFonts w:hint="eastAsia"/>
              </w:rPr>
              <w:t>温度：-5—45摄氏度</w:t>
            </w:r>
            <w:r>
              <w:rPr>
                <w:rFonts w:hint="eastAsia"/>
                <w:lang w:eastAsia="zh-CN"/>
              </w:rPr>
              <w:t>；</w:t>
            </w:r>
            <w:r>
              <w:rPr>
                <w:rFonts w:hint="eastAsia"/>
              </w:rPr>
              <w:t>湿度：10—90%（非结霜状态）</w:t>
            </w:r>
          </w:p>
          <w:p w14:paraId="2BA22EDC">
            <w:pPr>
              <w:rPr>
                <w:rFonts w:hint="eastAsia"/>
              </w:rPr>
            </w:pPr>
            <w:r>
              <w:rPr>
                <w:rFonts w:hint="eastAsia"/>
                <w:lang w:val="en-US" w:eastAsia="zh-CN"/>
              </w:rPr>
              <w:t>11.</w:t>
            </w:r>
            <w:r>
              <w:rPr>
                <w:rFonts w:hint="eastAsia"/>
              </w:rPr>
              <w:t>色带/色带芯</w:t>
            </w:r>
            <w:r>
              <w:rPr>
                <w:rFonts w:hint="eastAsia"/>
              </w:rPr>
              <w:tab/>
            </w:r>
            <w:r>
              <w:rPr>
                <w:rFonts w:hint="eastAsia"/>
              </w:rPr>
              <w:t>大色带盒（黑色），寿命：600万字以上（打印高速PICA字体）</w:t>
            </w:r>
          </w:p>
          <w:p w14:paraId="103EAC23">
            <w:pPr>
              <w:rPr>
                <w:rFonts w:hint="eastAsia"/>
              </w:rPr>
            </w:pPr>
            <w:r>
              <w:rPr>
                <w:rFonts w:hint="eastAsia"/>
                <w:lang w:val="en-US" w:eastAsia="zh-CN"/>
              </w:rPr>
              <w:t>12.</w:t>
            </w:r>
            <w:r>
              <w:rPr>
                <w:rFonts w:hint="eastAsia"/>
              </w:rPr>
              <w:t>MTBF</w:t>
            </w:r>
            <w:r>
              <w:rPr>
                <w:rFonts w:hint="eastAsia"/>
                <w:lang w:eastAsia="zh-CN"/>
              </w:rPr>
              <w:t>：</w:t>
            </w:r>
            <w:r>
              <w:rPr>
                <w:rFonts w:hint="eastAsia"/>
              </w:rPr>
              <w:t>20000小时</w:t>
            </w:r>
          </w:p>
          <w:p w14:paraId="0121C757">
            <w:pPr>
              <w:rPr>
                <w:rFonts w:hint="eastAsia"/>
              </w:rPr>
            </w:pPr>
            <w:r>
              <w:rPr>
                <w:rFonts w:hint="eastAsia"/>
                <w:lang w:val="en-US" w:eastAsia="zh-CN"/>
              </w:rPr>
              <w:t>13.</w:t>
            </w:r>
            <w:r>
              <w:rPr>
                <w:rFonts w:hint="eastAsia"/>
              </w:rPr>
              <w:t>噪音</w:t>
            </w:r>
            <w:r>
              <w:rPr>
                <w:rFonts w:hint="eastAsia"/>
                <w:lang w:eastAsia="zh-CN"/>
              </w:rPr>
              <w:t>：</w:t>
            </w:r>
            <w:r>
              <w:rPr>
                <w:rFonts w:hint="eastAsia"/>
              </w:rPr>
              <w:t>&lt;53Db(ISO7779模式)</w:t>
            </w:r>
          </w:p>
          <w:p w14:paraId="124A63E2">
            <w:pPr>
              <w:rPr>
                <w:rFonts w:hint="eastAsia"/>
              </w:rPr>
            </w:pPr>
            <w:r>
              <w:rPr>
                <w:rFonts w:hint="eastAsia"/>
                <w:lang w:val="en-US" w:eastAsia="zh-CN"/>
              </w:rPr>
              <w:t>14.</w:t>
            </w:r>
            <w:r>
              <w:rPr>
                <w:rFonts w:hint="eastAsia"/>
              </w:rPr>
              <w:t>尺寸</w:t>
            </w:r>
            <w:r>
              <w:rPr>
                <w:rFonts w:hint="eastAsia"/>
              </w:rPr>
              <w:tab/>
            </w:r>
            <w:r>
              <w:rPr>
                <w:rFonts w:hint="eastAsia"/>
                <w:lang w:eastAsia="zh-CN"/>
              </w:rPr>
              <w:t>：</w:t>
            </w:r>
            <w:r>
              <w:rPr>
                <w:rFonts w:hint="eastAsia"/>
              </w:rPr>
              <w:t>376(宽)*285(长)*160(高)MM</w:t>
            </w:r>
          </w:p>
          <w:p w14:paraId="0E1B1FD9">
            <w:pPr>
              <w:rPr>
                <w:rFonts w:hint="eastAsia"/>
              </w:rPr>
            </w:pPr>
            <w:r>
              <w:rPr>
                <w:rFonts w:hint="eastAsia"/>
                <w:lang w:val="en-US" w:eastAsia="zh-CN"/>
              </w:rPr>
              <w:t>15.</w:t>
            </w:r>
            <w:r>
              <w:rPr>
                <w:rFonts w:hint="eastAsia"/>
              </w:rPr>
              <w:t>重量</w:t>
            </w:r>
            <w:r>
              <w:rPr>
                <w:rFonts w:hint="eastAsia"/>
                <w:lang w:eastAsia="zh-CN"/>
              </w:rPr>
              <w:t>：</w:t>
            </w:r>
            <w:r>
              <w:rPr>
                <w:rFonts w:hint="eastAsia"/>
              </w:rPr>
              <w:t>5KG</w:t>
            </w:r>
          </w:p>
          <w:p w14:paraId="1BFC2240">
            <w:pPr>
              <w:rPr>
                <w:rFonts w:hint="eastAsia"/>
              </w:rPr>
            </w:pPr>
            <w:r>
              <w:rPr>
                <w:rFonts w:hint="eastAsia"/>
                <w:lang w:val="en-US" w:eastAsia="zh-CN"/>
              </w:rPr>
              <w:t>16.</w:t>
            </w:r>
            <w:r>
              <w:rPr>
                <w:rFonts w:hint="eastAsia"/>
              </w:rPr>
              <w:t>电源</w:t>
            </w:r>
            <w:r>
              <w:rPr>
                <w:rFonts w:hint="eastAsia"/>
              </w:rPr>
              <w:tab/>
            </w:r>
            <w:r>
              <w:rPr>
                <w:rFonts w:hint="eastAsia"/>
              </w:rPr>
              <w:t>AC220V士15%</w:t>
            </w:r>
            <w:r>
              <w:rPr>
                <w:rFonts w:hint="eastAsia"/>
                <w:lang w:eastAsia="zh-CN"/>
              </w:rPr>
              <w:t>；</w:t>
            </w:r>
            <w:r>
              <w:rPr>
                <w:rFonts w:hint="eastAsia"/>
              </w:rPr>
              <w:t>50/60Hz</w:t>
            </w:r>
            <w:r>
              <w:rPr>
                <w:rFonts w:hint="eastAsia"/>
                <w:lang w:eastAsia="zh-CN"/>
              </w:rPr>
              <w:t>；</w:t>
            </w:r>
            <w:r>
              <w:rPr>
                <w:rFonts w:hint="eastAsia"/>
              </w:rPr>
              <w:t>额定功率：76W   待机功率&lt;5.8W</w:t>
            </w:r>
          </w:p>
          <w:p w14:paraId="782FC471">
            <w:pPr>
              <w:rPr>
                <w:rFonts w:hint="eastAsia"/>
              </w:rPr>
            </w:pPr>
            <w:r>
              <w:rPr>
                <w:rFonts w:hint="eastAsia"/>
                <w:lang w:val="en-US" w:eastAsia="zh-CN"/>
              </w:rPr>
              <w:t>17</w:t>
            </w:r>
            <w:r>
              <w:rPr>
                <w:rFonts w:hint="eastAsia"/>
              </w:rPr>
              <w:t>可选件</w:t>
            </w:r>
            <w:r>
              <w:rPr>
                <w:rFonts w:hint="eastAsia"/>
              </w:rPr>
              <w:tab/>
            </w:r>
            <w:r>
              <w:rPr>
                <w:rFonts w:hint="eastAsia"/>
              </w:rPr>
              <w:t>1、并口 2、高速接口；3、RS-232串行接口</w:t>
            </w:r>
          </w:p>
          <w:p w14:paraId="1892FDEA">
            <w:pPr>
              <w:rPr>
                <w:rFonts w:hint="eastAsia"/>
              </w:rPr>
            </w:pPr>
            <w:r>
              <w:rPr>
                <w:rFonts w:hint="eastAsia"/>
                <w:lang w:val="en-US" w:eastAsia="zh-CN"/>
              </w:rPr>
              <w:t>18.</w:t>
            </w:r>
            <w:r>
              <w:rPr>
                <w:rFonts w:hint="eastAsia"/>
              </w:rPr>
              <w:t>★其它功能</w:t>
            </w:r>
            <w:r>
              <w:rPr>
                <w:rFonts w:hint="eastAsia"/>
                <w:lang w:eastAsia="zh-CN"/>
              </w:rPr>
              <w:t>：</w:t>
            </w:r>
            <w:r>
              <w:rPr>
                <w:rFonts w:hint="eastAsia"/>
              </w:rPr>
              <w:t>纸宽自动检测功能、击打力度自动调节功能，在线升级功能、提供高负荷特殊版本定制</w:t>
            </w:r>
          </w:p>
          <w:p w14:paraId="3491271C">
            <w:pPr>
              <w:rPr>
                <w:rFonts w:hint="eastAsia"/>
              </w:rPr>
            </w:pPr>
            <w:r>
              <w:rPr>
                <w:rFonts w:hint="eastAsia"/>
                <w:lang w:val="en-US" w:eastAsia="zh-CN"/>
              </w:rPr>
              <w:t>19.</w:t>
            </w:r>
            <w:r>
              <w:rPr>
                <w:rFonts w:hint="eastAsia"/>
              </w:rPr>
              <w:t>★服务要求</w:t>
            </w:r>
            <w:r>
              <w:rPr>
                <w:rFonts w:hint="eastAsia"/>
                <w:lang w:eastAsia="zh-CN"/>
              </w:rPr>
              <w:t>：</w:t>
            </w:r>
            <w:r>
              <w:rPr>
                <w:rFonts w:hint="eastAsia"/>
              </w:rPr>
              <w:t>厂家承诺整机（含打印头）三年免费保修，且提供“厂家服务承诺函”。</w:t>
            </w:r>
          </w:p>
          <w:p w14:paraId="7D76DEDD">
            <w:pPr>
              <w:rPr>
                <w:rFonts w:hint="eastAsia"/>
              </w:rPr>
            </w:pPr>
            <w:r>
              <w:rPr>
                <w:rFonts w:hint="eastAsia"/>
                <w:lang w:val="en-US" w:eastAsia="zh-CN"/>
              </w:rPr>
              <w:t>20.</w:t>
            </w:r>
            <w:r>
              <w:rPr>
                <w:rFonts w:hint="eastAsia"/>
              </w:rPr>
              <w:t>★资质要求</w:t>
            </w:r>
            <w:r>
              <w:rPr>
                <w:rFonts w:hint="eastAsia"/>
                <w:lang w:eastAsia="zh-CN"/>
              </w:rPr>
              <w:t>：</w:t>
            </w:r>
            <w:r>
              <w:rPr>
                <w:rFonts w:hint="eastAsia"/>
              </w:rPr>
              <w:t xml:space="preserve">投标产品具备自主知识产权的SOC控制芯片，能有效防止信息泄密；需现场提供样机验证及提供国家知识产权局证书证明 ，提供“制造厂授权函” </w:t>
            </w:r>
          </w:p>
          <w:p w14:paraId="1E823A8B">
            <w:r>
              <w:rPr>
                <w:rFonts w:hint="eastAsia"/>
              </w:rPr>
              <w:t>注：本用户需求书中打“★”条款不得作负偏离响应，否则将作无效报价处理。</w:t>
            </w:r>
          </w:p>
        </w:tc>
        <w:tc>
          <w:tcPr>
            <w:tcW w:w="1073" w:type="dxa"/>
            <w:noWrap/>
          </w:tcPr>
          <w:p w14:paraId="0BFF901D">
            <w:pPr>
              <w:rPr>
                <w:rFonts w:hint="default" w:eastAsia="宋体"/>
                <w:b/>
                <w:bCs/>
                <w:lang w:val="en-US" w:eastAsia="zh-CN"/>
              </w:rPr>
            </w:pPr>
            <w:r>
              <w:rPr>
                <w:rFonts w:hint="default"/>
                <w:b/>
                <w:bCs/>
                <w:lang w:val="en-US" w:eastAsia="zh-CN"/>
              </w:rPr>
              <w:t>22</w:t>
            </w:r>
            <w:bookmarkStart w:id="3" w:name="_GoBack"/>
            <w:bookmarkEnd w:id="3"/>
          </w:p>
        </w:tc>
      </w:tr>
    </w:tbl>
    <w:p w14:paraId="27257244">
      <w:pPr>
        <w:rPr>
          <w:rFonts w:ascii="宋体" w:hAnsi="宋体" w:cs="宋体"/>
          <w:color w:val="000000"/>
          <w:kern w:val="0"/>
        </w:rPr>
      </w:pPr>
      <w:r>
        <w:rPr>
          <w:rFonts w:hint="eastAsia" w:ascii="宋体" w:hAnsi="宋体" w:cs="宋体"/>
          <w:color w:val="000000"/>
          <w:kern w:val="0"/>
        </w:rPr>
        <w:t xml:space="preserve">备注： </w:t>
      </w:r>
    </w:p>
    <w:p w14:paraId="6D8CDA8F">
      <w:pPr>
        <w:outlineLvl w:val="1"/>
        <w:rPr>
          <w:rFonts w:hint="eastAsia" w:ascii="宋体" w:hAnsi="宋体" w:cs="宋体"/>
          <w:b/>
          <w:bCs/>
          <w:kern w:val="0"/>
          <w:szCs w:val="24"/>
        </w:rPr>
      </w:pPr>
      <w:bookmarkStart w:id="1" w:name="_Toc120739796"/>
      <w:bookmarkStart w:id="2" w:name="_Toc4784"/>
    </w:p>
    <w:p w14:paraId="442B9117">
      <w:pPr>
        <w:pStyle w:val="2"/>
        <w:rPr>
          <w:rFonts w:hint="eastAsia" w:ascii="宋体" w:hAnsi="宋体" w:cs="宋体"/>
          <w:b/>
          <w:bCs/>
          <w:kern w:val="0"/>
          <w:szCs w:val="24"/>
        </w:rPr>
      </w:pPr>
    </w:p>
    <w:p w14:paraId="35AF0803">
      <w:pPr>
        <w:pStyle w:val="2"/>
        <w:rPr>
          <w:rFonts w:hint="eastAsia" w:ascii="宋体" w:hAnsi="宋体" w:cs="宋体"/>
          <w:b/>
          <w:bCs/>
          <w:kern w:val="0"/>
          <w:szCs w:val="24"/>
        </w:rPr>
      </w:pPr>
    </w:p>
    <w:p w14:paraId="0A925A4B">
      <w:pPr>
        <w:pStyle w:val="2"/>
        <w:rPr>
          <w:rFonts w:hint="eastAsia" w:ascii="宋体" w:hAnsi="宋体" w:cs="宋体"/>
          <w:b/>
          <w:bCs/>
          <w:kern w:val="0"/>
          <w:szCs w:val="24"/>
        </w:rPr>
      </w:pPr>
    </w:p>
    <w:p w14:paraId="12778771">
      <w:pPr>
        <w:pStyle w:val="2"/>
        <w:rPr>
          <w:rFonts w:hint="eastAsia" w:ascii="宋体" w:hAnsi="宋体" w:cs="宋体"/>
          <w:b/>
          <w:bCs/>
          <w:kern w:val="0"/>
          <w:szCs w:val="24"/>
        </w:rPr>
      </w:pPr>
    </w:p>
    <w:p w14:paraId="639E29D2">
      <w:pPr>
        <w:pStyle w:val="26"/>
        <w:numPr>
          <w:ilvl w:val="0"/>
          <w:numId w:val="2"/>
        </w:numPr>
        <w:ind w:firstLineChars="0"/>
        <w:outlineLvl w:val="1"/>
        <w:rPr>
          <w:rFonts w:ascii="宋体" w:hAnsi="宋体" w:cs="宋体"/>
          <w:b/>
          <w:bCs/>
          <w:color w:val="000000"/>
          <w:kern w:val="0"/>
          <w:sz w:val="28"/>
          <w:szCs w:val="28"/>
        </w:rPr>
      </w:pPr>
      <w:r>
        <w:rPr>
          <w:rFonts w:hint="eastAsia" w:ascii="宋体" w:hAnsi="宋体" w:cs="宋体"/>
          <w:b/>
          <w:bCs/>
          <w:kern w:val="0"/>
          <w:sz w:val="28"/>
          <w:szCs w:val="28"/>
        </w:rPr>
        <w:t>商务要求</w:t>
      </w:r>
      <w:bookmarkEnd w:id="1"/>
      <w:bookmarkEnd w:id="2"/>
    </w:p>
    <w:p w14:paraId="70E963A2">
      <w:pPr>
        <w:rPr>
          <w:rFonts w:ascii="宋体" w:hAnsi="宋体" w:cs="宋体"/>
          <w:szCs w:val="24"/>
        </w:rPr>
      </w:pPr>
      <w:r>
        <w:rPr>
          <w:rFonts w:hint="eastAsia" w:ascii="宋体" w:hAnsi="宋体" w:cs="宋体"/>
          <w:kern w:val="0"/>
          <w:szCs w:val="24"/>
        </w:rPr>
        <w:t>1.投标人须有能力提供完善的售后服务（包括参与本次采购项目的实施及后期维护的技术人员、响应时间及备品、备件方面等）。</w:t>
      </w:r>
    </w:p>
    <w:p w14:paraId="0009E0E4">
      <w:pPr>
        <w:rPr>
          <w:rFonts w:hint="eastAsia" w:ascii="宋体" w:hAnsi="宋体" w:cs="宋体"/>
          <w:kern w:val="0"/>
          <w:szCs w:val="24"/>
        </w:rPr>
      </w:pPr>
      <w:r>
        <w:rPr>
          <w:rFonts w:hint="eastAsia" w:ascii="宋体" w:hAnsi="宋体" w:cs="宋体"/>
          <w:kern w:val="0"/>
          <w:szCs w:val="24"/>
        </w:rPr>
        <w:t xml:space="preserve">2.质量保证期：自验收合格之日起计算，所投报的硬件产品提供至少 </w:t>
      </w:r>
      <w:r>
        <w:rPr>
          <w:rFonts w:hint="eastAsia" w:ascii="宋体" w:hAnsi="宋体" w:cs="宋体"/>
          <w:kern w:val="0"/>
          <w:szCs w:val="24"/>
          <w:lang w:val="en-US" w:eastAsia="zh-CN"/>
        </w:rPr>
        <w:t>3</w:t>
      </w:r>
      <w:r>
        <w:rPr>
          <w:rFonts w:hint="eastAsia" w:ascii="宋体" w:hAnsi="宋体" w:cs="宋体"/>
          <w:kern w:val="0"/>
          <w:szCs w:val="24"/>
        </w:rPr>
        <w:t xml:space="preserve"> 年的原厂质量保证期，并提供备品、备件；</w:t>
      </w:r>
    </w:p>
    <w:p w14:paraId="42CFCA12">
      <w:pPr>
        <w:rPr>
          <w:rFonts w:ascii="宋体" w:hAnsi="宋体" w:cs="宋体"/>
          <w:szCs w:val="24"/>
        </w:rPr>
      </w:pPr>
      <w:r>
        <w:rPr>
          <w:rFonts w:hint="eastAsia" w:ascii="宋体" w:hAnsi="宋体" w:cs="宋体"/>
          <w:kern w:val="0"/>
          <w:szCs w:val="24"/>
        </w:rPr>
        <w:t>3.在质量保证期内，非采购人人为原因而出现设备质量问题，由中标供应商负责其故障排除、设备及零配件更换等维修、维护工作，并承担因此而产生的一切费用。</w:t>
      </w:r>
    </w:p>
    <w:p w14:paraId="2CFEFAB7">
      <w:pPr>
        <w:rPr>
          <w:rFonts w:ascii="宋体" w:hAnsi="宋体" w:cs="宋体"/>
          <w:szCs w:val="24"/>
        </w:rPr>
      </w:pPr>
      <w:r>
        <w:rPr>
          <w:rFonts w:hint="eastAsia" w:ascii="宋体" w:hAnsi="宋体" w:cs="宋体"/>
          <w:kern w:val="0"/>
          <w:szCs w:val="24"/>
        </w:rPr>
        <w:t>4.在质量保证期外，中标供应商均不能免除因设备本身的缺陷所应负的全部责任，有义务对所提供的设备实行终身有偿维护和对设备进行定期的检测和维修。</w:t>
      </w:r>
    </w:p>
    <w:p w14:paraId="6E543D76">
      <w:pPr>
        <w:rPr>
          <w:rFonts w:ascii="宋体" w:hAnsi="宋体" w:cs="宋体"/>
          <w:szCs w:val="24"/>
        </w:rPr>
      </w:pPr>
      <w:r>
        <w:rPr>
          <w:rFonts w:hint="eastAsia" w:ascii="宋体" w:hAnsi="宋体" w:cs="宋体"/>
          <w:kern w:val="0"/>
          <w:szCs w:val="24"/>
        </w:rPr>
        <w:t>5.无论在质量保证期内或质量保证期外，中标供应商需提供上门服务。中标供应商需提供终身售后服务。</w:t>
      </w:r>
    </w:p>
    <w:p w14:paraId="5CE8F977">
      <w:pPr>
        <w:rPr>
          <w:rFonts w:ascii="宋体" w:hAnsi="宋体" w:cs="宋体"/>
          <w:szCs w:val="24"/>
        </w:rPr>
      </w:pPr>
      <w:r>
        <w:rPr>
          <w:rFonts w:hint="eastAsia" w:ascii="宋体" w:hAnsi="宋体" w:cs="宋体"/>
          <w:kern w:val="0"/>
          <w:szCs w:val="24"/>
        </w:rPr>
        <w:t>6.中标供应商应当具有可靠的售后服务保障，有固定的售后服务机构，能提供正常的技术、备品备件服务。</w:t>
      </w:r>
    </w:p>
    <w:p w14:paraId="27A6B7E8">
      <w:pPr>
        <w:rPr>
          <w:rFonts w:ascii="宋体" w:hAnsi="宋体" w:cs="宋体"/>
          <w:szCs w:val="24"/>
        </w:rPr>
      </w:pPr>
      <w:r>
        <w:rPr>
          <w:rFonts w:hint="eastAsia" w:ascii="宋体" w:hAnsi="宋体" w:cs="宋体"/>
          <w:kern w:val="0"/>
          <w:szCs w:val="24"/>
        </w:rPr>
        <w:t>7.中标供应商需设有 24 小时服务热线，质量保证期内定期派工程师到现场维护和巡查。</w:t>
      </w:r>
    </w:p>
    <w:p w14:paraId="168F81DA">
      <w:pPr>
        <w:rPr>
          <w:rFonts w:ascii="宋体" w:hAnsi="宋体" w:cs="宋体"/>
          <w:kern w:val="0"/>
          <w:szCs w:val="24"/>
        </w:rPr>
      </w:pPr>
      <w:r>
        <w:rPr>
          <w:rFonts w:hint="eastAsia" w:ascii="宋体" w:hAnsi="宋体" w:cs="宋体"/>
          <w:kern w:val="0"/>
          <w:szCs w:val="24"/>
        </w:rPr>
        <w:t xml:space="preserve">8.设备发生故障后，自报障时起算，1 小时内响应，4 小时内到达现场，8 小时内解决问题。如果设备故障在规定时间内仍无法排除，中标供应商应在随后 48 小时内提供不低于故障设备规格型号档次的备用设备供采购人代替使用，直至故障设备修复，费用由中标供应商负责。 </w:t>
      </w:r>
    </w:p>
    <w:p w14:paraId="042E6E01">
      <w:pPr>
        <w:rPr>
          <w:rFonts w:ascii="宋体" w:hAnsi="宋体" w:cs="宋体"/>
          <w:kern w:val="0"/>
          <w:szCs w:val="24"/>
        </w:rPr>
      </w:pPr>
    </w:p>
    <w:p w14:paraId="3DE03897">
      <w:pPr>
        <w:pStyle w:val="26"/>
        <w:numPr>
          <w:ilvl w:val="0"/>
          <w:numId w:val="2"/>
        </w:numPr>
        <w:ind w:firstLineChars="0"/>
        <w:outlineLvl w:val="1"/>
        <w:rPr>
          <w:rFonts w:ascii="宋体" w:hAnsi="宋体" w:cs="宋体"/>
          <w:b/>
          <w:bCs/>
          <w:color w:val="000000"/>
          <w:kern w:val="0"/>
          <w:sz w:val="28"/>
          <w:szCs w:val="28"/>
        </w:rPr>
      </w:pPr>
      <w:r>
        <w:rPr>
          <w:rFonts w:ascii="宋体" w:hAnsi="宋体" w:cs="宋体"/>
          <w:b/>
          <w:bCs/>
          <w:sz w:val="28"/>
          <w:szCs w:val="28"/>
        </w:rPr>
        <w:t>资格性和符合性评审表</w:t>
      </w:r>
    </w:p>
    <w:p w14:paraId="4F9B71D7">
      <w:pPr>
        <w:pStyle w:val="46"/>
        <w:rPr>
          <w:rFonts w:hint="default" w:ascii="宋体" w:hAnsi="宋体" w:eastAsia="宋体" w:cs="宋体"/>
          <w:b/>
          <w:bCs/>
          <w:sz w:val="24"/>
          <w:szCs w:val="24"/>
          <w:lang w:eastAsia="zh-CN"/>
        </w:rPr>
      </w:pPr>
      <w:r>
        <w:rPr>
          <w:rFonts w:ascii="宋体" w:hAnsi="宋体" w:eastAsia="宋体" w:cs="宋体"/>
          <w:b/>
          <w:bCs/>
          <w:sz w:val="24"/>
          <w:szCs w:val="24"/>
          <w:lang w:eastAsia="zh-CN"/>
        </w:rPr>
        <w:t>表一资格性审查表：</w:t>
      </w:r>
    </w:p>
    <w:tbl>
      <w:tblPr>
        <w:tblStyle w:val="2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5A7C48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E74C9BB">
            <w:pPr>
              <w:pStyle w:val="46"/>
              <w:rPr>
                <w:rFonts w:hint="default" w:ascii="宋体" w:hAnsi="宋体" w:eastAsia="宋体" w:cs="宋体"/>
                <w:sz w:val="24"/>
                <w:szCs w:val="24"/>
              </w:rPr>
            </w:pPr>
            <w:r>
              <w:rPr>
                <w:rFonts w:ascii="宋体" w:hAnsi="宋体" w:eastAsia="宋体" w:cs="宋体"/>
                <w:sz w:val="24"/>
                <w:szCs w:val="24"/>
              </w:rPr>
              <w:t xml:space="preserve"> 序号</w:t>
            </w:r>
          </w:p>
        </w:tc>
        <w:tc>
          <w:tcPr>
            <w:tcW w:w="7416" w:type="dxa"/>
            <w:gridSpan w:val="2"/>
          </w:tcPr>
          <w:p w14:paraId="12FAC8D6">
            <w:pPr>
              <w:pStyle w:val="46"/>
              <w:rPr>
                <w:rFonts w:hint="default" w:ascii="宋体" w:hAnsi="宋体" w:eastAsia="宋体" w:cs="宋体"/>
                <w:sz w:val="24"/>
                <w:szCs w:val="24"/>
              </w:rPr>
            </w:pPr>
            <w:r>
              <w:rPr>
                <w:rFonts w:ascii="宋体" w:hAnsi="宋体" w:eastAsia="宋体" w:cs="宋体"/>
                <w:sz w:val="24"/>
                <w:szCs w:val="24"/>
              </w:rPr>
              <w:t xml:space="preserve"> 资格审查内容</w:t>
            </w:r>
          </w:p>
        </w:tc>
      </w:tr>
      <w:tr w14:paraId="02B49C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63A00E9">
            <w:pPr>
              <w:pStyle w:val="46"/>
              <w:rPr>
                <w:rFonts w:hint="default" w:ascii="宋体" w:hAnsi="宋体" w:eastAsia="宋体" w:cs="宋体"/>
                <w:sz w:val="24"/>
                <w:szCs w:val="24"/>
              </w:rPr>
            </w:pPr>
            <w:r>
              <w:rPr>
                <w:rFonts w:ascii="宋体" w:hAnsi="宋体" w:eastAsia="宋体" w:cs="宋体"/>
                <w:sz w:val="24"/>
                <w:szCs w:val="24"/>
              </w:rPr>
              <w:t>1</w:t>
            </w:r>
          </w:p>
        </w:tc>
        <w:tc>
          <w:tcPr>
            <w:tcW w:w="3178" w:type="dxa"/>
          </w:tcPr>
          <w:p w14:paraId="37E63DE9">
            <w:pPr>
              <w:pStyle w:val="46"/>
              <w:rPr>
                <w:rFonts w:hint="default" w:ascii="宋体" w:hAnsi="宋体" w:eastAsia="宋体" w:cs="宋体"/>
                <w:sz w:val="24"/>
                <w:szCs w:val="24"/>
              </w:rPr>
            </w:pPr>
            <w:r>
              <w:rPr>
                <w:rFonts w:ascii="宋体" w:hAnsi="宋体" w:eastAsia="宋体" w:cs="宋体"/>
                <w:sz w:val="24"/>
                <w:szCs w:val="24"/>
              </w:rPr>
              <w:t>具有独立承担民事责任的能力</w:t>
            </w:r>
          </w:p>
        </w:tc>
        <w:tc>
          <w:tcPr>
            <w:tcW w:w="4238" w:type="dxa"/>
          </w:tcPr>
          <w:p w14:paraId="178E0866">
            <w:pPr>
              <w:pStyle w:val="46"/>
              <w:rPr>
                <w:rFonts w:hint="default" w:ascii="宋体" w:hAnsi="宋体" w:eastAsia="宋体" w:cs="宋体"/>
                <w:sz w:val="24"/>
                <w:szCs w:val="24"/>
              </w:rPr>
            </w:pPr>
            <w:r>
              <w:rPr>
                <w:rFonts w:ascii="宋体" w:hAnsi="宋体" w:eastAsia="宋体" w:cs="宋体"/>
                <w:sz w:val="24"/>
                <w:szCs w:val="24"/>
              </w:rPr>
              <w:t>投标人必须是具有独立承担民事责任能力的在中华人民共和国境内注册的法人或其他组织或自然人，投标时提交有效的营业执照（或事业法人登记证或身份证等相关证明）副本复印件。分支机构投标的，须提供总公司和分公司营业执照副本复印件，总公司出具给分支机构的授权书。</w:t>
            </w:r>
          </w:p>
        </w:tc>
      </w:tr>
      <w:tr w14:paraId="49C8A1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7F0AA0B">
            <w:pPr>
              <w:pStyle w:val="46"/>
              <w:rPr>
                <w:rFonts w:hint="default" w:ascii="宋体" w:hAnsi="宋体" w:eastAsia="宋体" w:cs="宋体"/>
                <w:sz w:val="24"/>
                <w:szCs w:val="24"/>
              </w:rPr>
            </w:pPr>
            <w:r>
              <w:rPr>
                <w:rFonts w:ascii="宋体" w:hAnsi="宋体" w:eastAsia="宋体" w:cs="宋体"/>
                <w:sz w:val="24"/>
                <w:szCs w:val="24"/>
              </w:rPr>
              <w:t>2</w:t>
            </w:r>
          </w:p>
        </w:tc>
        <w:tc>
          <w:tcPr>
            <w:tcW w:w="3178" w:type="dxa"/>
          </w:tcPr>
          <w:p w14:paraId="3413E8A4">
            <w:pPr>
              <w:pStyle w:val="46"/>
              <w:rPr>
                <w:rFonts w:hint="default" w:ascii="宋体" w:hAnsi="宋体" w:eastAsia="宋体" w:cs="宋体"/>
                <w:sz w:val="24"/>
                <w:szCs w:val="24"/>
              </w:rPr>
            </w:pPr>
            <w:r>
              <w:rPr>
                <w:rFonts w:ascii="宋体" w:hAnsi="宋体" w:eastAsia="宋体" w:cs="宋体"/>
                <w:sz w:val="24"/>
                <w:szCs w:val="24"/>
              </w:rPr>
              <w:t>有依法缴纳税收和社会保障资金的良好记录</w:t>
            </w:r>
          </w:p>
        </w:tc>
        <w:tc>
          <w:tcPr>
            <w:tcW w:w="4238" w:type="dxa"/>
          </w:tcPr>
          <w:p w14:paraId="05435D68">
            <w:pPr>
              <w:pStyle w:val="46"/>
              <w:rPr>
                <w:rFonts w:hint="default" w:ascii="宋体" w:hAnsi="宋体" w:eastAsia="宋体" w:cs="宋体"/>
                <w:sz w:val="24"/>
                <w:szCs w:val="24"/>
              </w:rPr>
            </w:pPr>
            <w:r>
              <w:rPr>
                <w:rFonts w:ascii="宋体" w:hAnsi="宋体" w:eastAsia="宋体" w:cs="宋体"/>
                <w:sz w:val="24"/>
                <w:szCs w:val="24"/>
              </w:rPr>
              <w:t>提供声明函（格式自定，格式可参考公告附件）。</w:t>
            </w:r>
          </w:p>
        </w:tc>
      </w:tr>
      <w:tr w14:paraId="73FFB8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6A364864">
            <w:pPr>
              <w:pStyle w:val="46"/>
              <w:rPr>
                <w:rFonts w:hint="default" w:ascii="宋体" w:hAnsi="宋体" w:eastAsia="宋体" w:cs="宋体"/>
                <w:sz w:val="24"/>
                <w:szCs w:val="24"/>
              </w:rPr>
            </w:pPr>
            <w:r>
              <w:rPr>
                <w:rFonts w:ascii="宋体" w:hAnsi="宋体" w:eastAsia="宋体" w:cs="宋体"/>
                <w:sz w:val="24"/>
                <w:szCs w:val="24"/>
              </w:rPr>
              <w:t>3</w:t>
            </w:r>
          </w:p>
        </w:tc>
        <w:tc>
          <w:tcPr>
            <w:tcW w:w="3178" w:type="dxa"/>
          </w:tcPr>
          <w:p w14:paraId="2EFFCEC3">
            <w:pPr>
              <w:pStyle w:val="46"/>
              <w:rPr>
                <w:rFonts w:hint="default" w:ascii="宋体" w:hAnsi="宋体" w:eastAsia="宋体" w:cs="宋体"/>
                <w:sz w:val="24"/>
                <w:szCs w:val="24"/>
              </w:rPr>
            </w:pPr>
            <w:r>
              <w:rPr>
                <w:rFonts w:ascii="宋体" w:hAnsi="宋体" w:eastAsia="宋体" w:cs="宋体"/>
                <w:sz w:val="24"/>
                <w:szCs w:val="24"/>
              </w:rPr>
              <w:t>具有良好的商业信誉和健全的财务会计制度</w:t>
            </w:r>
          </w:p>
        </w:tc>
        <w:tc>
          <w:tcPr>
            <w:tcW w:w="4238" w:type="dxa"/>
          </w:tcPr>
          <w:p w14:paraId="51415794">
            <w:pPr>
              <w:pStyle w:val="46"/>
              <w:rPr>
                <w:rFonts w:hint="default" w:ascii="宋体" w:hAnsi="宋体" w:eastAsia="宋体" w:cs="宋体"/>
                <w:sz w:val="24"/>
                <w:szCs w:val="24"/>
              </w:rPr>
            </w:pPr>
            <w:r>
              <w:rPr>
                <w:rFonts w:ascii="宋体" w:hAnsi="宋体" w:eastAsia="宋体" w:cs="宋体"/>
                <w:sz w:val="24"/>
                <w:szCs w:val="24"/>
              </w:rPr>
              <w:t>提供声明函（格式自定，格式可参考公告附件）。</w:t>
            </w:r>
          </w:p>
        </w:tc>
      </w:tr>
      <w:tr w14:paraId="537703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5E4AC39">
            <w:pPr>
              <w:pStyle w:val="46"/>
              <w:rPr>
                <w:rFonts w:hint="default" w:ascii="宋体" w:hAnsi="宋体" w:eastAsia="宋体" w:cs="宋体"/>
                <w:sz w:val="24"/>
                <w:szCs w:val="24"/>
              </w:rPr>
            </w:pPr>
            <w:r>
              <w:rPr>
                <w:rFonts w:ascii="宋体" w:hAnsi="宋体" w:eastAsia="宋体" w:cs="宋体"/>
                <w:sz w:val="24"/>
                <w:szCs w:val="24"/>
              </w:rPr>
              <w:t>4</w:t>
            </w:r>
          </w:p>
        </w:tc>
        <w:tc>
          <w:tcPr>
            <w:tcW w:w="3178" w:type="dxa"/>
          </w:tcPr>
          <w:p w14:paraId="286609C3">
            <w:pPr>
              <w:pStyle w:val="46"/>
              <w:rPr>
                <w:rFonts w:hint="default" w:ascii="宋体" w:hAnsi="宋体" w:eastAsia="宋体" w:cs="宋体"/>
                <w:sz w:val="24"/>
                <w:szCs w:val="24"/>
              </w:rPr>
            </w:pPr>
            <w:r>
              <w:rPr>
                <w:rFonts w:ascii="宋体" w:hAnsi="宋体" w:eastAsia="宋体" w:cs="宋体"/>
                <w:sz w:val="24"/>
                <w:szCs w:val="24"/>
              </w:rPr>
              <w:t>履行合同所必需的设备和专业技术能力</w:t>
            </w:r>
          </w:p>
        </w:tc>
        <w:tc>
          <w:tcPr>
            <w:tcW w:w="4238" w:type="dxa"/>
          </w:tcPr>
          <w:p w14:paraId="2D81F0AE">
            <w:pPr>
              <w:pStyle w:val="46"/>
              <w:rPr>
                <w:rFonts w:hint="default" w:ascii="宋体" w:hAnsi="宋体" w:eastAsia="宋体" w:cs="宋体"/>
                <w:sz w:val="24"/>
                <w:szCs w:val="24"/>
              </w:rPr>
            </w:pPr>
            <w:r>
              <w:rPr>
                <w:rFonts w:ascii="宋体" w:hAnsi="宋体" w:eastAsia="宋体" w:cs="宋体"/>
                <w:sz w:val="24"/>
                <w:szCs w:val="24"/>
              </w:rPr>
              <w:t>提供声明函（格式自定，格式可参考公告附件）。</w:t>
            </w:r>
          </w:p>
        </w:tc>
      </w:tr>
      <w:tr w14:paraId="674E0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FB5B526">
            <w:pPr>
              <w:pStyle w:val="46"/>
              <w:rPr>
                <w:rFonts w:hint="default" w:ascii="宋体" w:hAnsi="宋体" w:eastAsia="宋体" w:cs="宋体"/>
                <w:sz w:val="24"/>
                <w:szCs w:val="24"/>
              </w:rPr>
            </w:pPr>
            <w:r>
              <w:rPr>
                <w:rFonts w:ascii="宋体" w:hAnsi="宋体" w:eastAsia="宋体" w:cs="宋体"/>
                <w:sz w:val="24"/>
                <w:szCs w:val="24"/>
              </w:rPr>
              <w:t>5</w:t>
            </w:r>
          </w:p>
        </w:tc>
        <w:tc>
          <w:tcPr>
            <w:tcW w:w="3178" w:type="dxa"/>
          </w:tcPr>
          <w:p w14:paraId="2FBBA7D9">
            <w:pPr>
              <w:pStyle w:val="46"/>
              <w:rPr>
                <w:rFonts w:hint="default" w:ascii="宋体" w:hAnsi="宋体" w:eastAsia="宋体" w:cs="宋体"/>
                <w:sz w:val="24"/>
                <w:szCs w:val="24"/>
              </w:rPr>
            </w:pPr>
            <w:r>
              <w:rPr>
                <w:rFonts w:ascii="宋体" w:hAnsi="宋体" w:eastAsia="宋体" w:cs="宋体"/>
                <w:sz w:val="24"/>
                <w:szCs w:val="24"/>
              </w:rPr>
              <w:t>参加采购活动前3年内，在经营活动中没有重大违法记录</w:t>
            </w:r>
          </w:p>
        </w:tc>
        <w:tc>
          <w:tcPr>
            <w:tcW w:w="4238" w:type="dxa"/>
          </w:tcPr>
          <w:p w14:paraId="3D8895FC">
            <w:pPr>
              <w:pStyle w:val="46"/>
              <w:rPr>
                <w:rFonts w:hint="default" w:ascii="宋体" w:hAnsi="宋体" w:eastAsia="宋体" w:cs="宋体"/>
                <w:sz w:val="24"/>
                <w:szCs w:val="24"/>
              </w:rPr>
            </w:pPr>
            <w:r>
              <w:rPr>
                <w:rFonts w:ascii="宋体" w:hAnsi="宋体" w:eastAsia="宋体" w:cs="宋体"/>
                <w:sz w:val="24"/>
                <w:szCs w:val="24"/>
              </w:rPr>
              <w:t>提供声明函（格式自定，格式可参考公告附件）。重大违法记录，是指投标人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0148D3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F974D15">
            <w:pPr>
              <w:pStyle w:val="46"/>
              <w:rPr>
                <w:rFonts w:hint="default" w:ascii="宋体" w:hAnsi="宋体" w:eastAsia="宋体" w:cs="宋体"/>
                <w:sz w:val="24"/>
                <w:szCs w:val="24"/>
              </w:rPr>
            </w:pPr>
            <w:r>
              <w:rPr>
                <w:rFonts w:ascii="宋体" w:hAnsi="宋体" w:eastAsia="宋体" w:cs="宋体"/>
                <w:sz w:val="24"/>
                <w:szCs w:val="24"/>
              </w:rPr>
              <w:t>6</w:t>
            </w:r>
          </w:p>
        </w:tc>
        <w:tc>
          <w:tcPr>
            <w:tcW w:w="3178" w:type="dxa"/>
          </w:tcPr>
          <w:p w14:paraId="6F1A1214">
            <w:pPr>
              <w:pStyle w:val="46"/>
              <w:rPr>
                <w:rFonts w:hint="default" w:ascii="宋体" w:hAnsi="宋体" w:eastAsia="宋体" w:cs="宋体"/>
                <w:sz w:val="24"/>
                <w:szCs w:val="24"/>
              </w:rPr>
            </w:pPr>
            <w:r>
              <w:rPr>
                <w:rFonts w:ascii="宋体" w:hAnsi="宋体" w:eastAsia="宋体" w:cs="宋体"/>
                <w:sz w:val="24"/>
                <w:szCs w:val="24"/>
              </w:rPr>
              <w:t>信用记录</w:t>
            </w:r>
          </w:p>
        </w:tc>
        <w:tc>
          <w:tcPr>
            <w:tcW w:w="4238" w:type="dxa"/>
          </w:tcPr>
          <w:p w14:paraId="0E8A1274">
            <w:pPr>
              <w:pStyle w:val="46"/>
              <w:rPr>
                <w:rFonts w:hint="default" w:ascii="宋体" w:hAnsi="宋体" w:eastAsia="宋体" w:cs="宋体"/>
                <w:sz w:val="24"/>
                <w:szCs w:val="24"/>
              </w:rPr>
            </w:pPr>
            <w:r>
              <w:rPr>
                <w:rFonts w:ascii="宋体" w:hAnsi="宋体" w:eastAsia="宋体" w:cs="宋体"/>
                <w:sz w:val="24"/>
                <w:szCs w:val="24"/>
              </w:rPr>
              <w:t>供应商未被列入“信用中国”网站(www.creditchina.gov.cn)“失信被执行人或重大税收违法案件当事人名单（重大税收违法失信主体）或政府采购严重违法失信行为记录名单”；不处于中国政府采购网(www.ccgp.gov.cn)“政府采购严重违法失信行为记录名单”中的禁止参加政府采购活动期间。（以采购代理机构于投标截止日当天在“信用中国”网站（www.creditchina.gov.cn）及中国政府采购网（http://www.ccgp.gov.cn/）查询结果为准，如相关失信记录已失效，投标人需提供相关证明资料）。</w:t>
            </w:r>
          </w:p>
        </w:tc>
      </w:tr>
      <w:tr w14:paraId="3FFE30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5D04B38">
            <w:pPr>
              <w:pStyle w:val="46"/>
              <w:rPr>
                <w:rFonts w:hint="default" w:ascii="宋体" w:hAnsi="宋体" w:eastAsia="宋体" w:cs="宋体"/>
                <w:sz w:val="24"/>
                <w:szCs w:val="24"/>
              </w:rPr>
            </w:pPr>
            <w:r>
              <w:rPr>
                <w:rFonts w:ascii="宋体" w:hAnsi="宋体" w:eastAsia="宋体" w:cs="宋体"/>
                <w:sz w:val="24"/>
                <w:szCs w:val="24"/>
              </w:rPr>
              <w:t>7</w:t>
            </w:r>
          </w:p>
        </w:tc>
        <w:tc>
          <w:tcPr>
            <w:tcW w:w="3178" w:type="dxa"/>
          </w:tcPr>
          <w:p w14:paraId="582A6914">
            <w:pPr>
              <w:pStyle w:val="46"/>
              <w:rPr>
                <w:rFonts w:hint="default" w:ascii="宋体" w:hAnsi="宋体" w:eastAsia="宋体" w:cs="宋体"/>
                <w:sz w:val="24"/>
                <w:szCs w:val="24"/>
              </w:rPr>
            </w:pPr>
            <w:r>
              <w:rPr>
                <w:rFonts w:ascii="宋体" w:hAnsi="宋体" w:eastAsia="宋体" w:cs="宋体"/>
                <w:sz w:val="24"/>
                <w:szCs w:val="24"/>
              </w:rPr>
              <w:t>供应商必须符合法律、行政法规规定的其他条件</w:t>
            </w:r>
          </w:p>
        </w:tc>
        <w:tc>
          <w:tcPr>
            <w:tcW w:w="4238" w:type="dxa"/>
          </w:tcPr>
          <w:p w14:paraId="37DE304A">
            <w:pPr>
              <w:pStyle w:val="46"/>
              <w:rPr>
                <w:rFonts w:hint="default" w:ascii="宋体" w:hAnsi="宋体" w:eastAsia="宋体" w:cs="宋体"/>
                <w:sz w:val="24"/>
                <w:szCs w:val="24"/>
              </w:rPr>
            </w:pPr>
            <w:r>
              <w:rPr>
                <w:rFonts w:ascii="宋体" w:hAnsi="宋体" w:eastAsia="宋体" w:cs="宋体"/>
                <w:sz w:val="24"/>
                <w:szCs w:val="24"/>
              </w:rPr>
              <w:t>单位负责人为同一人或者存在直接控股、管理关系的不同供应商，不得同时参加本采购项目投标。为本项目提供整体设计、规范编制或者项目管理、监理、检测等服务的供应商，不得再参与本项目投标。提供《投标函》或提供声明函（格式自定，格式可参考招标公告附件）。</w:t>
            </w:r>
          </w:p>
        </w:tc>
      </w:tr>
      <w:tr w14:paraId="0ECB80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5982C94">
            <w:pPr>
              <w:pStyle w:val="46"/>
              <w:rPr>
                <w:rFonts w:hint="default" w:ascii="宋体" w:hAnsi="宋体" w:eastAsia="宋体" w:cs="宋体"/>
                <w:sz w:val="24"/>
                <w:szCs w:val="24"/>
              </w:rPr>
            </w:pPr>
            <w:r>
              <w:rPr>
                <w:rFonts w:ascii="宋体" w:hAnsi="宋体" w:eastAsia="宋体" w:cs="宋体"/>
                <w:sz w:val="24"/>
                <w:szCs w:val="24"/>
              </w:rPr>
              <w:t>8</w:t>
            </w:r>
          </w:p>
        </w:tc>
        <w:tc>
          <w:tcPr>
            <w:tcW w:w="3178" w:type="dxa"/>
          </w:tcPr>
          <w:p w14:paraId="71DDA998">
            <w:pPr>
              <w:pStyle w:val="46"/>
              <w:rPr>
                <w:rFonts w:hint="default" w:ascii="宋体" w:hAnsi="宋体" w:eastAsia="宋体" w:cs="宋体"/>
                <w:sz w:val="24"/>
                <w:szCs w:val="24"/>
              </w:rPr>
            </w:pPr>
            <w:r>
              <w:rPr>
                <w:rFonts w:ascii="宋体" w:hAnsi="宋体" w:eastAsia="宋体" w:cs="宋体"/>
                <w:sz w:val="24"/>
                <w:szCs w:val="24"/>
              </w:rPr>
              <w:t>本采购包专门面向中小企业采购</w:t>
            </w:r>
          </w:p>
        </w:tc>
        <w:tc>
          <w:tcPr>
            <w:tcW w:w="4238" w:type="dxa"/>
          </w:tcPr>
          <w:p w14:paraId="0B5AE96D">
            <w:pPr>
              <w:pStyle w:val="46"/>
              <w:rPr>
                <w:rFonts w:hint="default" w:ascii="宋体" w:hAnsi="宋体" w:eastAsia="宋体" w:cs="宋体"/>
                <w:sz w:val="24"/>
                <w:szCs w:val="24"/>
              </w:rPr>
            </w:pPr>
            <w:r>
              <w:rPr>
                <w:rFonts w:ascii="宋体" w:hAnsi="宋体" w:eastAsia="宋体" w:cs="宋体"/>
                <w:sz w:val="24"/>
                <w:szCs w:val="24"/>
              </w:rPr>
              <w:t>本项目属于专门面向中小企业采购的项目。注：监狱企业、残疾人福利单位视同小型、微型企业。中小微企业以供应商填写的《中小企业声明函（货物）》为判定标准，残疾人福利性单位以供应商填写的《残疾人福利性单位声明函》为判定标准，监狱企业须供应商提供由省级以上监狱管理局、戒毒管理局（含新疆生产建设兵团）出具的属于监狱企业的证明文件，否则不予认定。</w:t>
            </w:r>
          </w:p>
        </w:tc>
      </w:tr>
    </w:tbl>
    <w:p w14:paraId="0CAA7650">
      <w:pPr>
        <w:pStyle w:val="46"/>
        <w:ind w:firstLine="480"/>
        <w:rPr>
          <w:rFonts w:hint="default" w:ascii="宋体" w:hAnsi="宋体" w:eastAsia="宋体" w:cs="宋体"/>
          <w:sz w:val="24"/>
          <w:szCs w:val="24"/>
        </w:rPr>
      </w:pPr>
    </w:p>
    <w:p w14:paraId="3C88A8C2">
      <w:pPr>
        <w:pStyle w:val="46"/>
        <w:rPr>
          <w:rFonts w:ascii="宋体" w:hAnsi="宋体" w:eastAsia="宋体" w:cs="宋体"/>
          <w:sz w:val="24"/>
          <w:szCs w:val="24"/>
          <w:lang w:eastAsia="zh-CN"/>
        </w:rPr>
      </w:pPr>
    </w:p>
    <w:p w14:paraId="614401C4">
      <w:pPr>
        <w:pStyle w:val="46"/>
        <w:ind w:firstLine="480"/>
        <w:rPr>
          <w:rFonts w:ascii="宋体" w:hAnsi="宋体" w:eastAsia="宋体" w:cs="宋体"/>
          <w:b/>
          <w:bCs/>
          <w:sz w:val="24"/>
          <w:szCs w:val="24"/>
          <w:lang w:eastAsia="zh-CN"/>
        </w:rPr>
      </w:pPr>
      <w:r>
        <w:rPr>
          <w:rFonts w:ascii="宋体" w:hAnsi="宋体" w:eastAsia="宋体" w:cs="宋体"/>
          <w:b/>
          <w:bCs/>
          <w:sz w:val="24"/>
          <w:szCs w:val="24"/>
        </w:rPr>
        <w:t>表二符合性审查表：</w:t>
      </w:r>
    </w:p>
    <w:tbl>
      <w:tblPr>
        <w:tblStyle w:val="2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2827EB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54C680C">
            <w:pPr>
              <w:pStyle w:val="46"/>
              <w:rPr>
                <w:rFonts w:hint="default" w:ascii="宋体" w:hAnsi="宋体" w:eastAsia="宋体" w:cs="宋体"/>
                <w:sz w:val="24"/>
                <w:szCs w:val="24"/>
              </w:rPr>
            </w:pPr>
            <w:r>
              <w:rPr>
                <w:rFonts w:ascii="宋体" w:hAnsi="宋体" w:eastAsia="宋体" w:cs="宋体"/>
                <w:sz w:val="24"/>
                <w:szCs w:val="24"/>
              </w:rPr>
              <w:t xml:space="preserve"> 序号</w:t>
            </w:r>
          </w:p>
        </w:tc>
        <w:tc>
          <w:tcPr>
            <w:tcW w:w="3178" w:type="dxa"/>
          </w:tcPr>
          <w:p w14:paraId="5798FAAB">
            <w:pPr>
              <w:pStyle w:val="46"/>
              <w:rPr>
                <w:rFonts w:hint="default" w:ascii="宋体" w:hAnsi="宋体" w:eastAsia="宋体" w:cs="宋体"/>
                <w:sz w:val="24"/>
                <w:szCs w:val="24"/>
              </w:rPr>
            </w:pPr>
            <w:r>
              <w:rPr>
                <w:rFonts w:ascii="宋体" w:hAnsi="宋体" w:eastAsia="宋体" w:cs="宋体"/>
                <w:sz w:val="24"/>
                <w:szCs w:val="24"/>
              </w:rPr>
              <w:t xml:space="preserve"> 评审点要求概况</w:t>
            </w:r>
          </w:p>
        </w:tc>
        <w:tc>
          <w:tcPr>
            <w:tcW w:w="4238" w:type="dxa"/>
          </w:tcPr>
          <w:p w14:paraId="5721356D">
            <w:pPr>
              <w:pStyle w:val="46"/>
              <w:rPr>
                <w:rFonts w:hint="default" w:ascii="宋体" w:hAnsi="宋体" w:eastAsia="宋体" w:cs="宋体"/>
                <w:sz w:val="24"/>
                <w:szCs w:val="24"/>
              </w:rPr>
            </w:pPr>
            <w:r>
              <w:rPr>
                <w:rFonts w:ascii="宋体" w:hAnsi="宋体" w:eastAsia="宋体" w:cs="宋体"/>
                <w:sz w:val="24"/>
                <w:szCs w:val="24"/>
              </w:rPr>
              <w:t xml:space="preserve"> 评审点具体描述</w:t>
            </w:r>
          </w:p>
        </w:tc>
      </w:tr>
      <w:tr w14:paraId="3A54E4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45FA535">
            <w:pPr>
              <w:pStyle w:val="46"/>
              <w:rPr>
                <w:rFonts w:hint="default" w:ascii="宋体" w:hAnsi="宋体" w:eastAsia="宋体" w:cs="宋体"/>
                <w:sz w:val="24"/>
                <w:szCs w:val="24"/>
              </w:rPr>
            </w:pPr>
            <w:r>
              <w:rPr>
                <w:rFonts w:ascii="宋体" w:hAnsi="宋体" w:eastAsia="宋体" w:cs="宋体"/>
                <w:sz w:val="24"/>
                <w:szCs w:val="24"/>
              </w:rPr>
              <w:t>1</w:t>
            </w:r>
          </w:p>
        </w:tc>
        <w:tc>
          <w:tcPr>
            <w:tcW w:w="3178" w:type="dxa"/>
          </w:tcPr>
          <w:p w14:paraId="55B5D33F">
            <w:pPr>
              <w:pStyle w:val="46"/>
              <w:rPr>
                <w:rFonts w:hint="default" w:ascii="宋体" w:hAnsi="宋体" w:eastAsia="宋体" w:cs="宋体"/>
                <w:sz w:val="24"/>
                <w:szCs w:val="24"/>
              </w:rPr>
            </w:pPr>
            <w:r>
              <w:rPr>
                <w:rFonts w:ascii="宋体" w:hAnsi="宋体" w:eastAsia="宋体" w:cs="宋体"/>
                <w:sz w:val="24"/>
                <w:szCs w:val="24"/>
              </w:rPr>
              <w:t>法定代表人/单位负责人证明书及授权委托书</w:t>
            </w:r>
          </w:p>
        </w:tc>
        <w:tc>
          <w:tcPr>
            <w:tcW w:w="4238" w:type="dxa"/>
          </w:tcPr>
          <w:p w14:paraId="5C39C7AF">
            <w:pPr>
              <w:pStyle w:val="46"/>
              <w:rPr>
                <w:rFonts w:hint="default" w:ascii="宋体" w:hAnsi="宋体" w:eastAsia="宋体" w:cs="宋体"/>
                <w:sz w:val="24"/>
                <w:szCs w:val="24"/>
              </w:rPr>
            </w:pPr>
            <w:r>
              <w:rPr>
                <w:rFonts w:ascii="宋体" w:hAnsi="宋体" w:eastAsia="宋体" w:cs="宋体"/>
                <w:sz w:val="24"/>
                <w:szCs w:val="24"/>
              </w:rPr>
              <w:t>法定代表人/单位负责人证明书及授权委托书，按对应格式文件签署、盖章。</w:t>
            </w:r>
          </w:p>
        </w:tc>
      </w:tr>
      <w:tr w14:paraId="642142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3A04E4D">
            <w:pPr>
              <w:pStyle w:val="46"/>
              <w:rPr>
                <w:rFonts w:hint="default" w:ascii="宋体" w:hAnsi="宋体" w:eastAsia="宋体" w:cs="宋体"/>
                <w:sz w:val="24"/>
                <w:szCs w:val="24"/>
              </w:rPr>
            </w:pPr>
            <w:r>
              <w:rPr>
                <w:rFonts w:ascii="宋体" w:hAnsi="宋体" w:eastAsia="宋体" w:cs="宋体"/>
                <w:sz w:val="24"/>
                <w:szCs w:val="24"/>
              </w:rPr>
              <w:t>2</w:t>
            </w:r>
          </w:p>
        </w:tc>
        <w:tc>
          <w:tcPr>
            <w:tcW w:w="3178" w:type="dxa"/>
          </w:tcPr>
          <w:p w14:paraId="2FB46747">
            <w:pPr>
              <w:pStyle w:val="46"/>
              <w:rPr>
                <w:rFonts w:hint="default" w:ascii="宋体" w:hAnsi="宋体" w:eastAsia="宋体" w:cs="宋体"/>
                <w:sz w:val="24"/>
                <w:szCs w:val="24"/>
              </w:rPr>
            </w:pPr>
            <w:r>
              <w:rPr>
                <w:rFonts w:ascii="宋体" w:hAnsi="宋体" w:eastAsia="宋体" w:cs="宋体"/>
                <w:sz w:val="24"/>
                <w:szCs w:val="24"/>
              </w:rPr>
              <w:t>投标文件签字、盖章要求</w:t>
            </w:r>
          </w:p>
        </w:tc>
        <w:tc>
          <w:tcPr>
            <w:tcW w:w="4238" w:type="dxa"/>
          </w:tcPr>
          <w:p w14:paraId="31955B27">
            <w:pPr>
              <w:pStyle w:val="46"/>
              <w:rPr>
                <w:rFonts w:hint="default" w:ascii="宋体" w:hAnsi="宋体" w:eastAsia="宋体" w:cs="宋体"/>
                <w:sz w:val="24"/>
                <w:szCs w:val="24"/>
              </w:rPr>
            </w:pPr>
            <w:r>
              <w:rPr>
                <w:rFonts w:ascii="宋体" w:hAnsi="宋体" w:eastAsia="宋体" w:cs="宋体"/>
                <w:sz w:val="24"/>
                <w:szCs w:val="24"/>
              </w:rPr>
              <w:t>投标文件签字、盖章符合招标文件要求。</w:t>
            </w:r>
          </w:p>
        </w:tc>
      </w:tr>
      <w:tr w14:paraId="5BEFC6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09BB2F3">
            <w:pPr>
              <w:pStyle w:val="46"/>
              <w:rPr>
                <w:rFonts w:hint="default" w:ascii="宋体" w:hAnsi="宋体" w:eastAsia="宋体" w:cs="宋体"/>
                <w:sz w:val="24"/>
                <w:szCs w:val="24"/>
              </w:rPr>
            </w:pPr>
            <w:r>
              <w:rPr>
                <w:rFonts w:ascii="宋体" w:hAnsi="宋体" w:eastAsia="宋体" w:cs="宋体"/>
                <w:sz w:val="24"/>
                <w:szCs w:val="24"/>
              </w:rPr>
              <w:t>3</w:t>
            </w:r>
          </w:p>
        </w:tc>
        <w:tc>
          <w:tcPr>
            <w:tcW w:w="3178" w:type="dxa"/>
          </w:tcPr>
          <w:p w14:paraId="02D42088">
            <w:pPr>
              <w:pStyle w:val="46"/>
              <w:rPr>
                <w:rFonts w:hint="default" w:ascii="宋体" w:hAnsi="宋体" w:eastAsia="宋体" w:cs="宋体"/>
                <w:sz w:val="24"/>
                <w:szCs w:val="24"/>
              </w:rPr>
            </w:pPr>
            <w:r>
              <w:rPr>
                <w:rFonts w:ascii="宋体" w:hAnsi="宋体" w:eastAsia="宋体" w:cs="宋体"/>
                <w:sz w:val="24"/>
                <w:szCs w:val="24"/>
              </w:rPr>
              <w:t>投标有效期</w:t>
            </w:r>
          </w:p>
        </w:tc>
        <w:tc>
          <w:tcPr>
            <w:tcW w:w="4238" w:type="dxa"/>
          </w:tcPr>
          <w:p w14:paraId="61B5535C">
            <w:pPr>
              <w:pStyle w:val="46"/>
              <w:rPr>
                <w:rFonts w:hint="default" w:ascii="宋体" w:hAnsi="宋体" w:eastAsia="宋体" w:cs="宋体"/>
                <w:sz w:val="24"/>
                <w:szCs w:val="24"/>
              </w:rPr>
            </w:pPr>
            <w:r>
              <w:rPr>
                <w:rFonts w:ascii="宋体" w:hAnsi="宋体" w:eastAsia="宋体" w:cs="宋体"/>
                <w:sz w:val="24"/>
                <w:szCs w:val="24"/>
              </w:rPr>
              <w:t>投标函已提交并符合招标文件要求的，且投标有效期不少于招标文件中载明的投标有效期。</w:t>
            </w:r>
          </w:p>
        </w:tc>
      </w:tr>
      <w:tr w14:paraId="668BA7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CC3D480">
            <w:pPr>
              <w:pStyle w:val="46"/>
              <w:rPr>
                <w:rFonts w:hint="default" w:ascii="宋体" w:hAnsi="宋体" w:eastAsia="宋体" w:cs="宋体"/>
                <w:sz w:val="24"/>
                <w:szCs w:val="24"/>
              </w:rPr>
            </w:pPr>
            <w:r>
              <w:rPr>
                <w:rFonts w:ascii="宋体" w:hAnsi="宋体" w:eastAsia="宋体" w:cs="宋体"/>
                <w:sz w:val="24"/>
                <w:szCs w:val="24"/>
              </w:rPr>
              <w:t>4</w:t>
            </w:r>
          </w:p>
        </w:tc>
        <w:tc>
          <w:tcPr>
            <w:tcW w:w="3178" w:type="dxa"/>
          </w:tcPr>
          <w:p w14:paraId="21B09C61">
            <w:pPr>
              <w:pStyle w:val="46"/>
              <w:rPr>
                <w:rFonts w:hint="default" w:ascii="宋体" w:hAnsi="宋体" w:eastAsia="宋体" w:cs="宋体"/>
                <w:sz w:val="24"/>
                <w:szCs w:val="24"/>
              </w:rPr>
            </w:pPr>
            <w:r>
              <w:rPr>
                <w:rFonts w:ascii="宋体" w:hAnsi="宋体" w:eastAsia="宋体" w:cs="宋体"/>
                <w:sz w:val="24"/>
                <w:szCs w:val="24"/>
              </w:rPr>
              <w:t>投标报价</w:t>
            </w:r>
          </w:p>
        </w:tc>
        <w:tc>
          <w:tcPr>
            <w:tcW w:w="4238" w:type="dxa"/>
          </w:tcPr>
          <w:p w14:paraId="260DC13F">
            <w:pPr>
              <w:pStyle w:val="46"/>
              <w:rPr>
                <w:rFonts w:hint="default" w:ascii="宋体" w:hAnsi="宋体" w:eastAsia="宋体" w:cs="宋体"/>
                <w:sz w:val="24"/>
                <w:szCs w:val="24"/>
              </w:rPr>
            </w:pPr>
            <w:r>
              <w:rPr>
                <w:rFonts w:ascii="宋体" w:hAnsi="宋体" w:eastAsia="宋体" w:cs="宋体"/>
                <w:sz w:val="24"/>
                <w:szCs w:val="24"/>
              </w:rPr>
              <w:t>投标报价唯一，不高于采购人需求规定的最高限价（预算金额）。</w:t>
            </w:r>
          </w:p>
        </w:tc>
      </w:tr>
      <w:tr w14:paraId="27F63F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761A628">
            <w:pPr>
              <w:pStyle w:val="46"/>
              <w:rPr>
                <w:rFonts w:hint="default" w:ascii="宋体" w:hAnsi="宋体" w:eastAsia="宋体" w:cs="宋体"/>
                <w:sz w:val="24"/>
                <w:szCs w:val="24"/>
              </w:rPr>
            </w:pPr>
            <w:r>
              <w:rPr>
                <w:rFonts w:ascii="宋体" w:hAnsi="宋体" w:eastAsia="宋体" w:cs="宋体"/>
                <w:sz w:val="24"/>
                <w:szCs w:val="24"/>
              </w:rPr>
              <w:t>5</w:t>
            </w:r>
          </w:p>
        </w:tc>
        <w:tc>
          <w:tcPr>
            <w:tcW w:w="3178" w:type="dxa"/>
          </w:tcPr>
          <w:p w14:paraId="3A0B7A76">
            <w:pPr>
              <w:pStyle w:val="46"/>
              <w:rPr>
                <w:rFonts w:hint="default" w:ascii="宋体" w:hAnsi="宋体" w:eastAsia="宋体" w:cs="宋体"/>
                <w:sz w:val="24"/>
                <w:szCs w:val="24"/>
              </w:rPr>
            </w:pPr>
            <w:r>
              <w:rPr>
                <w:rFonts w:ascii="宋体" w:hAnsi="宋体" w:eastAsia="宋体" w:cs="宋体"/>
                <w:sz w:val="24"/>
                <w:szCs w:val="24"/>
              </w:rPr>
              <w:t>满足招标文件中带★号的条款和指标</w:t>
            </w:r>
          </w:p>
        </w:tc>
        <w:tc>
          <w:tcPr>
            <w:tcW w:w="4238" w:type="dxa"/>
          </w:tcPr>
          <w:p w14:paraId="68A1650C">
            <w:pPr>
              <w:pStyle w:val="46"/>
              <w:rPr>
                <w:rFonts w:hint="default" w:ascii="宋体" w:hAnsi="宋体" w:eastAsia="宋体" w:cs="宋体"/>
                <w:sz w:val="24"/>
                <w:szCs w:val="24"/>
              </w:rPr>
            </w:pPr>
            <w:r>
              <w:rPr>
                <w:rFonts w:ascii="宋体" w:hAnsi="宋体" w:eastAsia="宋体" w:cs="宋体"/>
                <w:sz w:val="24"/>
                <w:szCs w:val="24"/>
              </w:rPr>
              <w:t>投标文件完全满足招标文件用户需求书以“★”标明的实质性条款的要求。</w:t>
            </w:r>
          </w:p>
        </w:tc>
      </w:tr>
      <w:tr w14:paraId="6F98FE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6A87955">
            <w:pPr>
              <w:pStyle w:val="46"/>
              <w:rPr>
                <w:rFonts w:hint="default" w:ascii="宋体" w:hAnsi="宋体" w:eastAsia="宋体" w:cs="宋体"/>
                <w:sz w:val="24"/>
                <w:szCs w:val="24"/>
              </w:rPr>
            </w:pPr>
            <w:r>
              <w:rPr>
                <w:rFonts w:ascii="宋体" w:hAnsi="宋体" w:eastAsia="宋体" w:cs="宋体"/>
                <w:sz w:val="24"/>
                <w:szCs w:val="24"/>
              </w:rPr>
              <w:t>6</w:t>
            </w:r>
          </w:p>
        </w:tc>
        <w:tc>
          <w:tcPr>
            <w:tcW w:w="3178" w:type="dxa"/>
          </w:tcPr>
          <w:p w14:paraId="5BD3407B">
            <w:pPr>
              <w:pStyle w:val="46"/>
              <w:rPr>
                <w:rFonts w:hint="default" w:ascii="宋体" w:hAnsi="宋体" w:eastAsia="宋体" w:cs="宋体"/>
                <w:sz w:val="24"/>
                <w:szCs w:val="24"/>
              </w:rPr>
            </w:pPr>
            <w:r>
              <w:rPr>
                <w:rFonts w:ascii="宋体" w:hAnsi="宋体" w:eastAsia="宋体" w:cs="宋体"/>
                <w:sz w:val="24"/>
                <w:szCs w:val="24"/>
              </w:rPr>
              <w:t>投标文件没有招标文件中规定的其它无效投标条款的</w:t>
            </w:r>
          </w:p>
        </w:tc>
        <w:tc>
          <w:tcPr>
            <w:tcW w:w="4238" w:type="dxa"/>
          </w:tcPr>
          <w:p w14:paraId="40E2C113">
            <w:pPr>
              <w:pStyle w:val="46"/>
              <w:rPr>
                <w:rFonts w:hint="default" w:ascii="宋体" w:hAnsi="宋体" w:eastAsia="宋体" w:cs="宋体"/>
                <w:sz w:val="24"/>
                <w:szCs w:val="24"/>
              </w:rPr>
            </w:pPr>
            <w:r>
              <w:rPr>
                <w:rFonts w:ascii="宋体" w:hAnsi="宋体" w:eastAsia="宋体" w:cs="宋体"/>
                <w:sz w:val="24"/>
                <w:szCs w:val="24"/>
              </w:rPr>
              <w:t>投标文件没有招标文件中规定的其它无效投标条款的。</w:t>
            </w:r>
          </w:p>
        </w:tc>
      </w:tr>
      <w:tr w14:paraId="7C0F2C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8CA7701">
            <w:pPr>
              <w:pStyle w:val="46"/>
              <w:rPr>
                <w:rFonts w:hint="default" w:ascii="宋体" w:hAnsi="宋体" w:eastAsia="宋体" w:cs="宋体"/>
                <w:sz w:val="24"/>
                <w:szCs w:val="24"/>
              </w:rPr>
            </w:pPr>
            <w:r>
              <w:rPr>
                <w:rFonts w:ascii="宋体" w:hAnsi="宋体" w:eastAsia="宋体" w:cs="宋体"/>
                <w:sz w:val="24"/>
                <w:szCs w:val="24"/>
              </w:rPr>
              <w:t>7</w:t>
            </w:r>
          </w:p>
        </w:tc>
        <w:tc>
          <w:tcPr>
            <w:tcW w:w="3178" w:type="dxa"/>
          </w:tcPr>
          <w:p w14:paraId="4B72D273">
            <w:pPr>
              <w:pStyle w:val="46"/>
              <w:rPr>
                <w:rFonts w:hint="default" w:ascii="宋体" w:hAnsi="宋体" w:eastAsia="宋体" w:cs="宋体"/>
                <w:sz w:val="24"/>
                <w:szCs w:val="24"/>
              </w:rPr>
            </w:pPr>
            <w:r>
              <w:rPr>
                <w:rFonts w:ascii="宋体" w:hAnsi="宋体" w:eastAsia="宋体" w:cs="宋体"/>
                <w:sz w:val="24"/>
                <w:szCs w:val="24"/>
              </w:rPr>
              <w:t>按有关法律、法规、规章不属于投标无效的</w:t>
            </w:r>
          </w:p>
        </w:tc>
        <w:tc>
          <w:tcPr>
            <w:tcW w:w="4238" w:type="dxa"/>
          </w:tcPr>
          <w:p w14:paraId="5405753C">
            <w:pPr>
              <w:pStyle w:val="46"/>
              <w:rPr>
                <w:rFonts w:hint="default" w:ascii="宋体" w:hAnsi="宋体" w:eastAsia="宋体" w:cs="宋体"/>
                <w:sz w:val="24"/>
                <w:szCs w:val="24"/>
              </w:rPr>
            </w:pPr>
            <w:r>
              <w:rPr>
                <w:rFonts w:ascii="宋体" w:hAnsi="宋体" w:eastAsia="宋体" w:cs="宋体"/>
                <w:sz w:val="24"/>
                <w:szCs w:val="24"/>
              </w:rPr>
              <w:t>按有关法律、法规、规章不属于投标无效的。</w:t>
            </w:r>
          </w:p>
        </w:tc>
      </w:tr>
    </w:tbl>
    <w:p w14:paraId="76786A4D">
      <w:pPr>
        <w:pStyle w:val="46"/>
        <w:outlineLvl w:val="3"/>
        <w:rPr>
          <w:rFonts w:hint="default" w:ascii="宋体" w:hAnsi="宋体" w:eastAsia="宋体" w:cs="宋体"/>
          <w:b/>
          <w:sz w:val="24"/>
          <w:szCs w:val="24"/>
        </w:rPr>
      </w:pPr>
    </w:p>
    <w:p w14:paraId="19040C5F">
      <w:pPr>
        <w:pStyle w:val="46"/>
        <w:outlineLvl w:val="3"/>
        <w:rPr>
          <w:rFonts w:ascii="宋体" w:hAnsi="宋体" w:eastAsia="宋体" w:cs="宋体"/>
          <w:b/>
          <w:sz w:val="24"/>
          <w:szCs w:val="24"/>
          <w:lang w:eastAsia="zh-CN"/>
        </w:rPr>
      </w:pPr>
    </w:p>
    <w:p w14:paraId="6BBCE18B"/>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140924"/>
    <w:multiLevelType w:val="singleLevel"/>
    <w:tmpl w:val="11140924"/>
    <w:lvl w:ilvl="0" w:tentative="0">
      <w:start w:val="1"/>
      <w:numFmt w:val="decimal"/>
      <w:lvlText w:val="%1."/>
      <w:lvlJc w:val="left"/>
      <w:pPr>
        <w:tabs>
          <w:tab w:val="left" w:pos="312"/>
        </w:tabs>
      </w:pPr>
    </w:lvl>
  </w:abstractNum>
  <w:abstractNum w:abstractNumId="1">
    <w:nsid w:val="1D755116"/>
    <w:multiLevelType w:val="multilevel"/>
    <w:tmpl w:val="1D755116"/>
    <w:lvl w:ilvl="0" w:tentative="0">
      <w:start w:val="1"/>
      <w:numFmt w:val="japaneseCounting"/>
      <w:lvlText w:val="%1、"/>
      <w:lvlJc w:val="left"/>
      <w:pPr>
        <w:ind w:left="600" w:hanging="6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4E35120"/>
    <w:multiLevelType w:val="multilevel"/>
    <w:tmpl w:val="24E35120"/>
    <w:lvl w:ilvl="0" w:tentative="0">
      <w:start w:val="1"/>
      <w:numFmt w:val="decimal"/>
      <w:pStyle w:val="3"/>
      <w:lvlText w:val="%1"/>
      <w:lvlJc w:val="left"/>
      <w:pPr>
        <w:ind w:left="8087" w:hanging="432"/>
      </w:pPr>
    </w:lvl>
    <w:lvl w:ilvl="1" w:tentative="0">
      <w:start w:val="1"/>
      <w:numFmt w:val="decimal"/>
      <w:pStyle w:val="4"/>
      <w:lvlText w:val="%1.%2"/>
      <w:lvlJc w:val="left"/>
      <w:pPr>
        <w:ind w:left="576" w:hanging="576"/>
      </w:pPr>
    </w:lvl>
    <w:lvl w:ilvl="2" w:tentative="0">
      <w:start w:val="1"/>
      <w:numFmt w:val="decimal"/>
      <w:pStyle w:val="5"/>
      <w:lvlText w:val="%1.%2.%3"/>
      <w:lvlJc w:val="left"/>
      <w:pPr>
        <w:ind w:left="720" w:hanging="720"/>
      </w:pPr>
    </w:lvl>
    <w:lvl w:ilvl="3" w:tentative="0">
      <w:start w:val="1"/>
      <w:numFmt w:val="decimal"/>
      <w:pStyle w:val="6"/>
      <w:lvlText w:val="%1.%2.%3.%4"/>
      <w:lvlJc w:val="left"/>
      <w:pPr>
        <w:ind w:left="864" w:hanging="864"/>
      </w:pPr>
    </w:lvl>
    <w:lvl w:ilvl="4" w:tentative="0">
      <w:start w:val="1"/>
      <w:numFmt w:val="decimal"/>
      <w:pStyle w:val="7"/>
      <w:lvlText w:val="%1.%2.%3.%4.%5"/>
      <w:lvlJc w:val="left"/>
      <w:pPr>
        <w:ind w:left="1008" w:hanging="1008"/>
      </w:pPr>
    </w:lvl>
    <w:lvl w:ilvl="5" w:tentative="0">
      <w:start w:val="1"/>
      <w:numFmt w:val="decimal"/>
      <w:pStyle w:val="8"/>
      <w:lvlText w:val="%1.%2.%3.%4.%5.%6"/>
      <w:lvlJc w:val="left"/>
      <w:pPr>
        <w:ind w:left="1152" w:hanging="1152"/>
      </w:pPr>
    </w:lvl>
    <w:lvl w:ilvl="6" w:tentative="0">
      <w:start w:val="1"/>
      <w:numFmt w:val="decimal"/>
      <w:pStyle w:val="9"/>
      <w:lvlText w:val="%1.%2.%3.%4.%5.%6.%7"/>
      <w:lvlJc w:val="left"/>
      <w:pPr>
        <w:ind w:left="1296" w:hanging="1296"/>
      </w:pPr>
    </w:lvl>
    <w:lvl w:ilvl="7" w:tentative="0">
      <w:start w:val="1"/>
      <w:numFmt w:val="decimal"/>
      <w:pStyle w:val="10"/>
      <w:lvlText w:val="%1.%2.%3.%4.%5.%6.%7.%8"/>
      <w:lvlJc w:val="left"/>
      <w:pPr>
        <w:ind w:left="1440" w:hanging="1440"/>
      </w:pPr>
    </w:lvl>
    <w:lvl w:ilvl="8" w:tentative="0">
      <w:start w:val="1"/>
      <w:numFmt w:val="decimal"/>
      <w:pStyle w:val="11"/>
      <w:lvlText w:val="%1.%2.%3.%4.%5.%6.%7.%8.%9"/>
      <w:lvlJc w:val="left"/>
      <w:pPr>
        <w:ind w:left="1584" w:hanging="158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attachedTemplate r:id="rId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98000E"/>
    <w:rsid w:val="000D1C57"/>
    <w:rsid w:val="000D629C"/>
    <w:rsid w:val="001475CC"/>
    <w:rsid w:val="00193D2B"/>
    <w:rsid w:val="002B4F1B"/>
    <w:rsid w:val="002F75C9"/>
    <w:rsid w:val="003B4A4A"/>
    <w:rsid w:val="004B5CFF"/>
    <w:rsid w:val="00616E24"/>
    <w:rsid w:val="00666BC8"/>
    <w:rsid w:val="006E0E60"/>
    <w:rsid w:val="00705502"/>
    <w:rsid w:val="007178F5"/>
    <w:rsid w:val="0081416F"/>
    <w:rsid w:val="00827865"/>
    <w:rsid w:val="009840B1"/>
    <w:rsid w:val="009862EE"/>
    <w:rsid w:val="009F055E"/>
    <w:rsid w:val="00A54719"/>
    <w:rsid w:val="00A76B21"/>
    <w:rsid w:val="00AB2A1A"/>
    <w:rsid w:val="00C0387C"/>
    <w:rsid w:val="00C67E2D"/>
    <w:rsid w:val="00DC7C83"/>
    <w:rsid w:val="00E3619C"/>
    <w:rsid w:val="00F44591"/>
    <w:rsid w:val="01F3205E"/>
    <w:rsid w:val="083760E5"/>
    <w:rsid w:val="091A30F8"/>
    <w:rsid w:val="0AE361A4"/>
    <w:rsid w:val="0B724955"/>
    <w:rsid w:val="0FD105E2"/>
    <w:rsid w:val="134E457F"/>
    <w:rsid w:val="1D6900A4"/>
    <w:rsid w:val="1E5E1BB8"/>
    <w:rsid w:val="1ECF3FCB"/>
    <w:rsid w:val="1F4D5BC8"/>
    <w:rsid w:val="1FAD2E10"/>
    <w:rsid w:val="22D24584"/>
    <w:rsid w:val="2B4972E9"/>
    <w:rsid w:val="2CA56A4C"/>
    <w:rsid w:val="2FE362B8"/>
    <w:rsid w:val="3198000E"/>
    <w:rsid w:val="34EE46C0"/>
    <w:rsid w:val="350708E7"/>
    <w:rsid w:val="39BE2301"/>
    <w:rsid w:val="3CC277A0"/>
    <w:rsid w:val="3F993F3E"/>
    <w:rsid w:val="4631112E"/>
    <w:rsid w:val="46D13396"/>
    <w:rsid w:val="46D30331"/>
    <w:rsid w:val="49BA01FA"/>
    <w:rsid w:val="4A3869D4"/>
    <w:rsid w:val="4A41483D"/>
    <w:rsid w:val="4CEF74C6"/>
    <w:rsid w:val="502D6F9F"/>
    <w:rsid w:val="518355CB"/>
    <w:rsid w:val="54137B50"/>
    <w:rsid w:val="54F15475"/>
    <w:rsid w:val="58E7416E"/>
    <w:rsid w:val="58EC5D11"/>
    <w:rsid w:val="5A692EA9"/>
    <w:rsid w:val="5C714777"/>
    <w:rsid w:val="5CD54DC2"/>
    <w:rsid w:val="5F572DD2"/>
    <w:rsid w:val="600D791B"/>
    <w:rsid w:val="679562B6"/>
    <w:rsid w:val="684B75FD"/>
    <w:rsid w:val="6DAD043E"/>
    <w:rsid w:val="6F711C31"/>
    <w:rsid w:val="724C2284"/>
    <w:rsid w:val="745C69C8"/>
    <w:rsid w:val="761A30C8"/>
    <w:rsid w:val="76A7701A"/>
    <w:rsid w:val="77042A3B"/>
    <w:rsid w:val="77BD0907"/>
    <w:rsid w:val="7B28636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等线" w:hAnsi="等线" w:eastAsia="宋体" w:cs="Times New Roman"/>
      <w:kern w:val="2"/>
      <w:sz w:val="24"/>
      <w:szCs w:val="22"/>
      <w:lang w:val="en-US" w:eastAsia="zh-CN" w:bidi="ar-SA"/>
    </w:rPr>
  </w:style>
  <w:style w:type="paragraph" w:styleId="3">
    <w:name w:val="heading 1"/>
    <w:basedOn w:val="1"/>
    <w:next w:val="1"/>
    <w:link w:val="31"/>
    <w:qFormat/>
    <w:uiPriority w:val="9"/>
    <w:pPr>
      <w:keepNext/>
      <w:keepLines/>
      <w:numPr>
        <w:ilvl w:val="0"/>
        <w:numId w:val="1"/>
      </w:numPr>
      <w:spacing w:before="220" w:after="210"/>
      <w:outlineLvl w:val="0"/>
    </w:pPr>
    <w:rPr>
      <w:b/>
      <w:bCs/>
      <w:kern w:val="44"/>
      <w:sz w:val="32"/>
      <w:szCs w:val="44"/>
    </w:rPr>
  </w:style>
  <w:style w:type="paragraph" w:styleId="4">
    <w:name w:val="heading 2"/>
    <w:basedOn w:val="1"/>
    <w:next w:val="1"/>
    <w:link w:val="32"/>
    <w:unhideWhenUsed/>
    <w:qFormat/>
    <w:uiPriority w:val="9"/>
    <w:pPr>
      <w:keepNext/>
      <w:keepLines/>
      <w:numPr>
        <w:ilvl w:val="1"/>
        <w:numId w:val="1"/>
      </w:numPr>
      <w:spacing w:before="140" w:after="140"/>
      <w:outlineLvl w:val="1"/>
    </w:pPr>
    <w:rPr>
      <w:rFonts w:ascii="等线 Light" w:hAnsi="等线 Light"/>
      <w:b/>
      <w:bCs/>
      <w:sz w:val="28"/>
      <w:szCs w:val="32"/>
    </w:rPr>
  </w:style>
  <w:style w:type="paragraph" w:styleId="5">
    <w:name w:val="heading 3"/>
    <w:basedOn w:val="1"/>
    <w:next w:val="1"/>
    <w:link w:val="34"/>
    <w:unhideWhenUsed/>
    <w:qFormat/>
    <w:uiPriority w:val="9"/>
    <w:pPr>
      <w:keepNext/>
      <w:keepLines/>
      <w:numPr>
        <w:ilvl w:val="2"/>
        <w:numId w:val="1"/>
      </w:numPr>
      <w:spacing w:before="140" w:after="140"/>
      <w:outlineLvl w:val="2"/>
    </w:pPr>
    <w:rPr>
      <w:b/>
      <w:bCs/>
      <w:sz w:val="28"/>
      <w:szCs w:val="32"/>
    </w:rPr>
  </w:style>
  <w:style w:type="paragraph" w:styleId="6">
    <w:name w:val="heading 4"/>
    <w:basedOn w:val="1"/>
    <w:next w:val="1"/>
    <w:link w:val="33"/>
    <w:unhideWhenUsed/>
    <w:qFormat/>
    <w:uiPriority w:val="9"/>
    <w:pPr>
      <w:keepNext/>
      <w:keepLines/>
      <w:numPr>
        <w:ilvl w:val="3"/>
        <w:numId w:val="1"/>
      </w:numPr>
      <w:spacing w:before="160" w:after="170"/>
      <w:outlineLvl w:val="3"/>
    </w:pPr>
    <w:rPr>
      <w:rFonts w:ascii="等线 Light" w:hAnsi="等线 Light"/>
      <w:b/>
      <w:bCs/>
      <w:szCs w:val="28"/>
    </w:rPr>
  </w:style>
  <w:style w:type="paragraph" w:styleId="7">
    <w:name w:val="heading 5"/>
    <w:basedOn w:val="1"/>
    <w:next w:val="1"/>
    <w:link w:val="35"/>
    <w:unhideWhenUsed/>
    <w:qFormat/>
    <w:uiPriority w:val="9"/>
    <w:pPr>
      <w:keepNext/>
      <w:keepLines/>
      <w:numPr>
        <w:ilvl w:val="4"/>
        <w:numId w:val="1"/>
      </w:numPr>
      <w:spacing w:before="160" w:after="170"/>
      <w:outlineLvl w:val="4"/>
    </w:pPr>
    <w:rPr>
      <w:b/>
      <w:bCs/>
      <w:szCs w:val="28"/>
    </w:rPr>
  </w:style>
  <w:style w:type="paragraph" w:styleId="8">
    <w:name w:val="heading 6"/>
    <w:basedOn w:val="1"/>
    <w:next w:val="1"/>
    <w:link w:val="28"/>
    <w:unhideWhenUsed/>
    <w:qFormat/>
    <w:uiPriority w:val="9"/>
    <w:pPr>
      <w:keepNext/>
      <w:keepLines/>
      <w:numPr>
        <w:ilvl w:val="5"/>
        <w:numId w:val="1"/>
      </w:numPr>
      <w:spacing w:before="120"/>
      <w:outlineLvl w:val="5"/>
    </w:pPr>
    <w:rPr>
      <w:rFonts w:ascii="等线 Light" w:hAnsi="等线 Light"/>
      <w:b/>
      <w:bCs/>
      <w:szCs w:val="24"/>
    </w:rPr>
  </w:style>
  <w:style w:type="paragraph" w:styleId="9">
    <w:name w:val="heading 7"/>
    <w:basedOn w:val="1"/>
    <w:next w:val="1"/>
    <w:link w:val="37"/>
    <w:unhideWhenUsed/>
    <w:qFormat/>
    <w:uiPriority w:val="9"/>
    <w:pPr>
      <w:keepNext/>
      <w:keepLines/>
      <w:numPr>
        <w:ilvl w:val="6"/>
        <w:numId w:val="1"/>
      </w:numPr>
      <w:spacing w:before="240" w:after="64" w:line="320" w:lineRule="auto"/>
      <w:outlineLvl w:val="6"/>
    </w:pPr>
    <w:rPr>
      <w:b/>
      <w:bCs/>
      <w:szCs w:val="24"/>
    </w:rPr>
  </w:style>
  <w:style w:type="paragraph" w:styleId="10">
    <w:name w:val="heading 8"/>
    <w:basedOn w:val="1"/>
    <w:next w:val="1"/>
    <w:link w:val="36"/>
    <w:unhideWhenUsed/>
    <w:qFormat/>
    <w:uiPriority w:val="9"/>
    <w:pPr>
      <w:keepNext/>
      <w:keepLines/>
      <w:numPr>
        <w:ilvl w:val="7"/>
        <w:numId w:val="1"/>
      </w:numPr>
      <w:spacing w:before="120"/>
      <w:outlineLvl w:val="7"/>
    </w:pPr>
    <w:rPr>
      <w:rFonts w:ascii="等线 Light" w:hAnsi="等线 Light"/>
      <w:szCs w:val="24"/>
    </w:rPr>
  </w:style>
  <w:style w:type="paragraph" w:styleId="11">
    <w:name w:val="heading 9"/>
    <w:basedOn w:val="1"/>
    <w:next w:val="1"/>
    <w:link w:val="30"/>
    <w:unhideWhenUsed/>
    <w:qFormat/>
    <w:uiPriority w:val="9"/>
    <w:pPr>
      <w:keepNext/>
      <w:keepLines/>
      <w:numPr>
        <w:ilvl w:val="8"/>
        <w:numId w:val="1"/>
      </w:numPr>
      <w:spacing w:before="240" w:after="64" w:line="320" w:lineRule="auto"/>
      <w:outlineLvl w:val="8"/>
    </w:pPr>
    <w:rPr>
      <w:rFonts w:ascii="等线 Light" w:hAnsi="等线 Light" w:eastAsia="等线 Light"/>
      <w:szCs w:val="21"/>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spacing w:before="36"/>
      <w:ind w:left="142"/>
      <w:jc w:val="left"/>
    </w:pPr>
    <w:rPr>
      <w:rFonts w:ascii="宋体" w:hAnsi="宋体" w:cs="宋体"/>
      <w:kern w:val="0"/>
      <w:szCs w:val="24"/>
      <w:lang w:eastAsia="en-US"/>
    </w:rPr>
  </w:style>
  <w:style w:type="paragraph" w:styleId="12">
    <w:name w:val="Balloon Text"/>
    <w:basedOn w:val="1"/>
    <w:link w:val="45"/>
    <w:unhideWhenUsed/>
    <w:qFormat/>
    <w:uiPriority w:val="99"/>
    <w:pPr>
      <w:spacing w:line="240" w:lineRule="auto"/>
    </w:pPr>
    <w:rPr>
      <w:rFonts w:asciiTheme="minorHAnsi" w:hAnsiTheme="minorHAnsi" w:eastAsiaTheme="minorEastAsia" w:cstheme="minorBidi"/>
      <w:sz w:val="18"/>
      <w:szCs w:val="18"/>
    </w:rPr>
  </w:style>
  <w:style w:type="paragraph" w:styleId="13">
    <w:name w:val="footer"/>
    <w:basedOn w:val="1"/>
    <w:link w:val="29"/>
    <w:unhideWhenUsed/>
    <w:qFormat/>
    <w:uiPriority w:val="0"/>
    <w:pPr>
      <w:tabs>
        <w:tab w:val="center" w:pos="4153"/>
        <w:tab w:val="right" w:pos="8306"/>
      </w:tabs>
      <w:snapToGrid w:val="0"/>
      <w:jc w:val="left"/>
    </w:pPr>
    <w:rPr>
      <w:sz w:val="18"/>
      <w:szCs w:val="18"/>
    </w:rPr>
  </w:style>
  <w:style w:type="paragraph" w:styleId="14">
    <w:name w:val="header"/>
    <w:basedOn w:val="1"/>
    <w:link w:val="27"/>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widowControl/>
      <w:spacing w:line="240" w:lineRule="auto"/>
      <w:jc w:val="left"/>
    </w:pPr>
    <w:rPr>
      <w:rFonts w:ascii="Times New Roman" w:hAnsi="Times New Roman" w:eastAsia="Times New Roman"/>
      <w:kern w:val="0"/>
      <w:szCs w:val="24"/>
      <w:lang w:eastAsia="en-US"/>
    </w:rPr>
  </w:style>
  <w:style w:type="paragraph" w:styleId="16">
    <w:name w:val="toc 2"/>
    <w:basedOn w:val="1"/>
    <w:next w:val="1"/>
    <w:qFormat/>
    <w:uiPriority w:val="39"/>
    <w:pPr>
      <w:widowControl/>
      <w:spacing w:line="240" w:lineRule="auto"/>
      <w:ind w:left="420" w:leftChars="200"/>
      <w:jc w:val="left"/>
    </w:pPr>
    <w:rPr>
      <w:rFonts w:ascii="Times New Roman" w:hAnsi="Times New Roman" w:eastAsia="Times New Roman"/>
      <w:kern w:val="0"/>
      <w:szCs w:val="24"/>
      <w:lang w:eastAsia="en-US"/>
    </w:rPr>
  </w:style>
  <w:style w:type="paragraph" w:styleId="17">
    <w:name w:val="Body Text First Indent 2"/>
    <w:basedOn w:val="18"/>
    <w:next w:val="20"/>
    <w:semiHidden/>
    <w:unhideWhenUsed/>
    <w:qFormat/>
    <w:uiPriority w:val="99"/>
    <w:pPr>
      <w:ind w:firstLine="420" w:firstLineChars="200"/>
    </w:pPr>
  </w:style>
  <w:style w:type="paragraph" w:customStyle="1" w:styleId="18">
    <w:name w:val="正文文本缩进_0"/>
    <w:basedOn w:val="19"/>
    <w:qFormat/>
    <w:uiPriority w:val="0"/>
    <w:pPr>
      <w:spacing w:after="120"/>
      <w:ind w:left="420" w:leftChars="200"/>
    </w:pPr>
  </w:style>
  <w:style w:type="paragraph" w:customStyle="1" w:styleId="19">
    <w:name w:val="正文_0"/>
    <w:next w:val="17"/>
    <w:qFormat/>
    <w:uiPriority w:val="0"/>
    <w:rPr>
      <w:rFonts w:ascii="Times New Roman" w:hAnsi="Times New Roman" w:eastAsia="宋体" w:cs="Times New Roman"/>
      <w:sz w:val="21"/>
      <w:lang w:val="en-US" w:eastAsia="zh-CN" w:bidi="ar-SA"/>
    </w:rPr>
  </w:style>
  <w:style w:type="paragraph" w:customStyle="1" w:styleId="20">
    <w:name w:val="正文文本_0"/>
    <w:basedOn w:val="19"/>
    <w:qFormat/>
    <w:uiPriority w:val="0"/>
    <w:pPr>
      <w:spacing w:after="120"/>
    </w:pPr>
  </w:style>
  <w:style w:type="table" w:styleId="22">
    <w:name w:val="Table Grid"/>
    <w:basedOn w:val="2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page number"/>
    <w:basedOn w:val="23"/>
    <w:unhideWhenUsed/>
    <w:qFormat/>
    <w:uiPriority w:val="99"/>
  </w:style>
  <w:style w:type="character" w:styleId="25">
    <w:name w:val="Hyperlink"/>
    <w:basedOn w:val="23"/>
    <w:unhideWhenUsed/>
    <w:qFormat/>
    <w:uiPriority w:val="99"/>
    <w:rPr>
      <w:color w:val="0000FF" w:themeColor="hyperlink"/>
      <w:u w:val="single"/>
      <w14:textFill>
        <w14:solidFill>
          <w14:schemeClr w14:val="hlink"/>
        </w14:solidFill>
      </w14:textFill>
    </w:rPr>
  </w:style>
  <w:style w:type="paragraph" w:styleId="26">
    <w:name w:val="List Paragraph"/>
    <w:basedOn w:val="1"/>
    <w:qFormat/>
    <w:uiPriority w:val="34"/>
    <w:pPr>
      <w:ind w:firstLine="420" w:firstLineChars="200"/>
    </w:pPr>
  </w:style>
  <w:style w:type="character" w:customStyle="1" w:styleId="27">
    <w:name w:val="页眉 Char"/>
    <w:basedOn w:val="23"/>
    <w:link w:val="14"/>
    <w:qFormat/>
    <w:uiPriority w:val="99"/>
    <w:rPr>
      <w:sz w:val="18"/>
      <w:szCs w:val="18"/>
    </w:rPr>
  </w:style>
  <w:style w:type="character" w:customStyle="1" w:styleId="28">
    <w:name w:val="标题 6 Char"/>
    <w:basedOn w:val="23"/>
    <w:link w:val="8"/>
    <w:qFormat/>
    <w:uiPriority w:val="9"/>
    <w:rPr>
      <w:rFonts w:ascii="等线 Light" w:hAnsi="等线 Light" w:eastAsia="宋体" w:cs="Times New Roman"/>
      <w:b/>
      <w:bCs/>
      <w:sz w:val="24"/>
      <w:szCs w:val="24"/>
    </w:rPr>
  </w:style>
  <w:style w:type="character" w:customStyle="1" w:styleId="29">
    <w:name w:val="页脚 Char"/>
    <w:basedOn w:val="23"/>
    <w:link w:val="13"/>
    <w:qFormat/>
    <w:uiPriority w:val="0"/>
    <w:rPr>
      <w:sz w:val="18"/>
      <w:szCs w:val="18"/>
    </w:rPr>
  </w:style>
  <w:style w:type="character" w:customStyle="1" w:styleId="30">
    <w:name w:val="标题 9 Char"/>
    <w:basedOn w:val="23"/>
    <w:link w:val="11"/>
    <w:semiHidden/>
    <w:qFormat/>
    <w:uiPriority w:val="9"/>
    <w:rPr>
      <w:rFonts w:ascii="等线 Light" w:hAnsi="等线 Light" w:eastAsia="等线 Light" w:cs="Times New Roman"/>
      <w:szCs w:val="21"/>
    </w:rPr>
  </w:style>
  <w:style w:type="character" w:customStyle="1" w:styleId="31">
    <w:name w:val="标题 1 Char"/>
    <w:basedOn w:val="23"/>
    <w:link w:val="3"/>
    <w:qFormat/>
    <w:uiPriority w:val="9"/>
    <w:rPr>
      <w:rFonts w:eastAsia="宋体"/>
      <w:b/>
      <w:bCs/>
      <w:kern w:val="44"/>
      <w:sz w:val="32"/>
      <w:szCs w:val="44"/>
    </w:rPr>
  </w:style>
  <w:style w:type="character" w:customStyle="1" w:styleId="32">
    <w:name w:val="标题 2 Char"/>
    <w:basedOn w:val="23"/>
    <w:link w:val="4"/>
    <w:qFormat/>
    <w:uiPriority w:val="9"/>
    <w:rPr>
      <w:rFonts w:ascii="等线 Light" w:hAnsi="等线 Light" w:eastAsia="宋体" w:cs="Times New Roman"/>
      <w:b/>
      <w:bCs/>
      <w:sz w:val="28"/>
      <w:szCs w:val="32"/>
    </w:rPr>
  </w:style>
  <w:style w:type="character" w:customStyle="1" w:styleId="33">
    <w:name w:val="标题 4 Char"/>
    <w:basedOn w:val="23"/>
    <w:link w:val="6"/>
    <w:qFormat/>
    <w:uiPriority w:val="9"/>
    <w:rPr>
      <w:rFonts w:ascii="等线 Light" w:hAnsi="等线 Light" w:eastAsia="宋体" w:cs="Times New Roman"/>
      <w:b/>
      <w:bCs/>
      <w:sz w:val="24"/>
      <w:szCs w:val="28"/>
    </w:rPr>
  </w:style>
  <w:style w:type="character" w:customStyle="1" w:styleId="34">
    <w:name w:val="标题 3 Char"/>
    <w:basedOn w:val="23"/>
    <w:link w:val="5"/>
    <w:qFormat/>
    <w:uiPriority w:val="9"/>
    <w:rPr>
      <w:rFonts w:eastAsia="宋体"/>
      <w:b/>
      <w:bCs/>
      <w:sz w:val="28"/>
      <w:szCs w:val="32"/>
    </w:rPr>
  </w:style>
  <w:style w:type="character" w:customStyle="1" w:styleId="35">
    <w:name w:val="标题 5 Char"/>
    <w:basedOn w:val="23"/>
    <w:link w:val="7"/>
    <w:qFormat/>
    <w:uiPriority w:val="9"/>
    <w:rPr>
      <w:rFonts w:eastAsia="宋体"/>
      <w:b/>
      <w:bCs/>
      <w:sz w:val="24"/>
      <w:szCs w:val="28"/>
    </w:rPr>
  </w:style>
  <w:style w:type="character" w:customStyle="1" w:styleId="36">
    <w:name w:val="标题 8 Char"/>
    <w:basedOn w:val="23"/>
    <w:link w:val="10"/>
    <w:qFormat/>
    <w:uiPriority w:val="9"/>
    <w:rPr>
      <w:rFonts w:ascii="等线 Light" w:hAnsi="等线 Light" w:eastAsia="宋体" w:cs="Times New Roman"/>
      <w:sz w:val="24"/>
      <w:szCs w:val="24"/>
    </w:rPr>
  </w:style>
  <w:style w:type="character" w:customStyle="1" w:styleId="37">
    <w:name w:val="标题 7 Char"/>
    <w:basedOn w:val="23"/>
    <w:link w:val="9"/>
    <w:qFormat/>
    <w:uiPriority w:val="9"/>
    <w:rPr>
      <w:b/>
      <w:bCs/>
      <w:sz w:val="24"/>
      <w:szCs w:val="24"/>
    </w:rPr>
  </w:style>
  <w:style w:type="paragraph" w:customStyle="1" w:styleId="38">
    <w:name w:val="章标题 小三黑"/>
    <w:basedOn w:val="3"/>
    <w:qFormat/>
    <w:uiPriority w:val="0"/>
    <w:pPr>
      <w:spacing w:before="500" w:after="500"/>
      <w:jc w:val="center"/>
    </w:pPr>
    <w:rPr>
      <w:rFonts w:ascii="黑体" w:hAnsi="Times New Roman" w:eastAsia="黑体" w:cs="宋体"/>
      <w:spacing w:val="-26"/>
      <w:szCs w:val="32"/>
    </w:rPr>
  </w:style>
  <w:style w:type="paragraph" w:customStyle="1" w:styleId="39">
    <w:name w:val="小节 小四 首行缩进2字符 1.5倍行距"/>
    <w:basedOn w:val="1"/>
    <w:qFormat/>
    <w:uiPriority w:val="0"/>
    <w:pPr>
      <w:keepNext/>
      <w:keepLines/>
      <w:spacing w:before="260" w:after="260"/>
      <w:ind w:left="2520"/>
      <w:outlineLvl w:val="2"/>
    </w:pPr>
    <w:rPr>
      <w:rFonts w:ascii="仿宋_GB2312" w:hAnsi="Times New Roman" w:cs="宋体"/>
      <w:b/>
      <w:bCs/>
      <w:szCs w:val="20"/>
    </w:rPr>
  </w:style>
  <w:style w:type="paragraph" w:customStyle="1" w:styleId="40">
    <w:name w:val="表格文字"/>
    <w:basedOn w:val="1"/>
    <w:qFormat/>
    <w:uiPriority w:val="0"/>
    <w:pPr>
      <w:spacing w:before="25" w:after="25"/>
      <w:jc w:val="left"/>
    </w:pPr>
    <w:rPr>
      <w:bCs/>
      <w:spacing w:val="10"/>
      <w:kern w:val="0"/>
    </w:rPr>
  </w:style>
  <w:style w:type="paragraph" w:customStyle="1" w:styleId="41">
    <w:name w:val="_Style 2"/>
    <w:qFormat/>
    <w:uiPriority w:val="1"/>
    <w:pPr>
      <w:widowControl w:val="0"/>
      <w:jc w:val="both"/>
    </w:pPr>
    <w:rPr>
      <w:rFonts w:ascii="Calibri" w:hAnsi="Calibri" w:eastAsia="宋体" w:cs="Times New Roman"/>
      <w:kern w:val="2"/>
      <w:sz w:val="21"/>
      <w:szCs w:val="22"/>
      <w:lang w:val="en-US" w:eastAsia="zh-CN" w:bidi="ar-SA"/>
    </w:rPr>
  </w:style>
  <w:style w:type="paragraph" w:customStyle="1" w:styleId="42">
    <w:name w:val="列表段落1"/>
    <w:basedOn w:val="1"/>
    <w:qFormat/>
    <w:uiPriority w:val="0"/>
    <w:pPr>
      <w:spacing w:line="240" w:lineRule="auto"/>
      <w:ind w:firstLine="420" w:firstLineChars="200"/>
    </w:pPr>
    <w:rPr>
      <w:rFonts w:ascii="Calibri" w:hAnsi="Calibri"/>
      <w:sz w:val="21"/>
      <w:szCs w:val="21"/>
    </w:rPr>
  </w:style>
  <w:style w:type="paragraph" w:customStyle="1" w:styleId="43">
    <w:name w:val="WPSOffice手动目录 1"/>
    <w:qFormat/>
    <w:uiPriority w:val="0"/>
    <w:rPr>
      <w:rFonts w:ascii="Times New Roman" w:hAnsi="Times New Roman" w:eastAsia="宋体" w:cs="Times New Roman"/>
      <w:lang w:val="en-US" w:eastAsia="zh-CN" w:bidi="ar-SA"/>
    </w:rPr>
  </w:style>
  <w:style w:type="paragraph" w:customStyle="1" w:styleId="44">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45">
    <w:name w:val="批注框文本 Char"/>
    <w:basedOn w:val="23"/>
    <w:link w:val="12"/>
    <w:qFormat/>
    <w:uiPriority w:val="99"/>
    <w:rPr>
      <w:rFonts w:asciiTheme="minorHAnsi" w:hAnsiTheme="minorHAnsi" w:eastAsiaTheme="minorEastAsia" w:cstheme="minorBidi"/>
      <w:kern w:val="2"/>
      <w:sz w:val="18"/>
      <w:szCs w:val="18"/>
    </w:rPr>
  </w:style>
  <w:style w:type="paragraph" w:customStyle="1" w:styleId="46">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3435;&#20307;-&#23567;&#22235;&#26679;&#24335;.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宋体-小四样式.wpt</Template>
  <Pages>6</Pages>
  <Words>2427</Words>
  <Characters>2806</Characters>
  <Lines>45</Lines>
  <Paragraphs>12</Paragraphs>
  <TotalTime>8</TotalTime>
  <ScaleCrop>false</ScaleCrop>
  <LinksUpToDate>false</LinksUpToDate>
  <CharactersWithSpaces>2865</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2025-08-18T08:08:00Z</dcterms:created>
  <dc:creator>skyelise</dc:creator>
  <cp:lastModifiedBy>rmyy</cp:lastModifiedBy>
  <dcterms:modified xsi:type="dcterms:W3CDTF">2026-09-23T08:06:21Z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KSOTemplateDocerSaveRecord">
    <vt:lpwstr>eyJoZGlkIjoiNDMxZTkzNGUxM2JkNmUwY2VmNjk3ZGJlZjdhMzUyMGIiLCJ1c2VySWQiOiIxMTUyNDMxMDIzIn0=</vt:lpwstr>
  </property>
  <property fmtid="{D5CDD505-2E9C-101B-9397-08002B2CF9AE}" pid="4" name="ICV">
    <vt:lpwstr>99BB635FAD8D4F0B93889AC9028B1821_13</vt:lpwstr>
  </property>
</Properties>
</file>