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C20DB">
      <w:pPr>
        <w:rPr>
          <w:rFonts w:hint="eastAsia" w:ascii="黑体" w:hAnsi="黑体" w:eastAsia="黑体" w:cs="黑体"/>
          <w:b w:val="0"/>
          <w:bCs w:val="0"/>
          <w:color w:val="000000" w:themeColor="text1"/>
          <w:sz w:val="32"/>
          <w:szCs w:val="32"/>
        </w:rPr>
      </w:pPr>
      <w:r>
        <w:rPr>
          <w:rFonts w:hint="eastAsia" w:ascii="黑体" w:hAnsi="黑体" w:eastAsia="黑体" w:cs="黑体"/>
          <w:b w:val="0"/>
          <w:bCs w:val="0"/>
          <w:color w:val="000000" w:themeColor="text1"/>
          <w:sz w:val="32"/>
          <w:szCs w:val="32"/>
        </w:rPr>
        <w:t>附件</w:t>
      </w:r>
    </w:p>
    <w:p w14:paraId="58C1F32B">
      <w:pPr>
        <w:jc w:val="center"/>
        <w:rPr>
          <w:rFonts w:hint="eastAsia" w:ascii="方正小标宋简体" w:hAnsi="方正小标宋简体" w:eastAsia="方正小标宋简体" w:cs="方正小标宋简体"/>
          <w:b w:val="0"/>
          <w:bCs w:val="0"/>
          <w:color w:val="000000" w:themeColor="text1"/>
          <w:sz w:val="36"/>
          <w:szCs w:val="36"/>
        </w:rPr>
      </w:pPr>
      <w:r>
        <w:rPr>
          <w:rFonts w:hint="eastAsia" w:ascii="方正小标宋简体" w:hAnsi="方正小标宋简体" w:eastAsia="方正小标宋简体" w:cs="方正小标宋简体"/>
          <w:b w:val="0"/>
          <w:bCs w:val="0"/>
          <w:color w:val="000000" w:themeColor="text1"/>
          <w:sz w:val="36"/>
          <w:szCs w:val="36"/>
        </w:rPr>
        <w:t>江门市人民医院202</w:t>
      </w:r>
      <w:r>
        <w:rPr>
          <w:rFonts w:hint="eastAsia" w:ascii="方正小标宋简体" w:hAnsi="方正小标宋简体" w:eastAsia="方正小标宋简体" w:cs="方正小标宋简体"/>
          <w:b w:val="0"/>
          <w:bCs w:val="0"/>
          <w:color w:val="000000" w:themeColor="text1"/>
          <w:sz w:val="36"/>
          <w:szCs w:val="36"/>
          <w:lang w:val="en-US" w:eastAsia="zh-CN"/>
        </w:rPr>
        <w:t>6</w:t>
      </w:r>
      <w:bookmarkStart w:id="0" w:name="_GoBack"/>
      <w:bookmarkEnd w:id="0"/>
      <w:r>
        <w:rPr>
          <w:rFonts w:hint="eastAsia" w:ascii="方正小标宋简体" w:hAnsi="方正小标宋简体" w:eastAsia="方正小标宋简体" w:cs="方正小标宋简体"/>
          <w:b w:val="0"/>
          <w:bCs w:val="0"/>
          <w:color w:val="000000" w:themeColor="text1"/>
          <w:sz w:val="36"/>
          <w:szCs w:val="36"/>
        </w:rPr>
        <w:t>-202</w:t>
      </w:r>
      <w:r>
        <w:rPr>
          <w:rFonts w:hint="eastAsia" w:ascii="方正小标宋简体" w:hAnsi="方正小标宋简体" w:eastAsia="方正小标宋简体" w:cs="方正小标宋简体"/>
          <w:b w:val="0"/>
          <w:bCs w:val="0"/>
          <w:color w:val="000000" w:themeColor="text1"/>
          <w:sz w:val="36"/>
          <w:szCs w:val="36"/>
          <w:lang w:val="en-US" w:eastAsia="zh-CN"/>
        </w:rPr>
        <w:t>8</w:t>
      </w:r>
      <w:r>
        <w:rPr>
          <w:rFonts w:hint="eastAsia" w:ascii="方正小标宋简体" w:hAnsi="方正小标宋简体" w:eastAsia="方正小标宋简体" w:cs="方正小标宋简体"/>
          <w:b w:val="0"/>
          <w:bCs w:val="0"/>
          <w:color w:val="000000" w:themeColor="text1"/>
          <w:sz w:val="36"/>
          <w:szCs w:val="36"/>
        </w:rPr>
        <w:t>年度采购代理机构遴选评分标准</w:t>
      </w:r>
    </w:p>
    <w:tbl>
      <w:tblPr>
        <w:tblStyle w:val="5"/>
        <w:tblpPr w:leftFromText="180" w:rightFromText="180" w:vertAnchor="text" w:horzAnchor="page" w:tblpXSpec="center" w:tblpY="78"/>
        <w:tblOverlap w:val="never"/>
        <w:tblW w:w="1029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30"/>
        <w:gridCol w:w="1865"/>
        <w:gridCol w:w="1118"/>
        <w:gridCol w:w="6382"/>
      </w:tblGrid>
      <w:tr w14:paraId="1CA722A7">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20" w:hRule="atLeast"/>
          <w:tblHeader/>
          <w:jc w:val="center"/>
        </w:trPr>
        <w:tc>
          <w:tcPr>
            <w:tcW w:w="9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2E585F">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序号</w:t>
            </w:r>
          </w:p>
        </w:tc>
        <w:tc>
          <w:tcPr>
            <w:tcW w:w="18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E3B6D5C">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评审项目</w:t>
            </w:r>
          </w:p>
        </w:tc>
        <w:tc>
          <w:tcPr>
            <w:tcW w:w="11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4605C4C">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分值</w:t>
            </w:r>
          </w:p>
        </w:tc>
        <w:tc>
          <w:tcPr>
            <w:tcW w:w="63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DBA8A27">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评审细则</w:t>
            </w:r>
          </w:p>
        </w:tc>
      </w:tr>
      <w:tr w14:paraId="7ACA75D2">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38"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B087D41">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21E2602E">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代理服务能力</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5D83E2">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12</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FFF6C5">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采购代理服务方案专业规范，可操作性高，有详细完成的采购代理难点分析及质疑投诉应对措施，以及协助采购人对采购内控管理工作。进行横向对比，在12-0之间评分。</w:t>
            </w:r>
          </w:p>
        </w:tc>
      </w:tr>
      <w:tr w14:paraId="6BDC732B">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FE1B46">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7C605C4">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管理制度、业务规范</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B91123">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12</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CC1B469">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代理机构有完善的管理制度及专业规范的业务操作流程，对比代理机构内部经营管理制度、业务操作规范等。进行横向对比，在12-0之间评分。</w:t>
            </w:r>
          </w:p>
        </w:tc>
      </w:tr>
      <w:tr w14:paraId="4C4A5F0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9A6E04">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3</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B5B7683">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认证水平</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0EB9DD">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6</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F9AB012">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具有ISO9001质量管理体系认证证书、ISO14001环境管理体系认证证书、ISO45001职业健康安全管理体系认证证书的，具有1项证书可得2分，全部具备得6分。</w:t>
            </w:r>
          </w:p>
          <w:p w14:paraId="4F22569E">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注：需提供上述相关证明材料的复印件并加盖代理机构公章。</w:t>
            </w:r>
          </w:p>
        </w:tc>
      </w:tr>
      <w:tr w14:paraId="367118BA">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383"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85984C">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4</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1273ED1">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人员资质水平</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721AD7E">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15</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BCAA56">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1.供应商拟派本项目负责人必须是本单位在职人员，同时具有高级职称的得3分。</w:t>
            </w:r>
          </w:p>
          <w:p w14:paraId="4245B481">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2.供应商拟投入服务团队</w:t>
            </w:r>
          </w:p>
          <w:p w14:paraId="232DFD13">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（1）团队人员中具有中级职称的人员数量为3人或以上的得3分，2人的得2分，1人的得1分，没有的不得分。</w:t>
            </w:r>
          </w:p>
          <w:p w14:paraId="1F50C7F1">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（2）团队人员中具有本科或以上学历的人员数量为7人或以上的得4分，4-6人的得2人，其他或没有的不得分。</w:t>
            </w:r>
          </w:p>
          <w:p w14:paraId="57A08E26">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（3）团队人员中具有广东省政府采购协会举办的政府采购代理机构从业人员教育培训证书的人员数量为10人或以上的得5分，7-9人的得4分，4-6人的得2分，其他或没有的不得分。</w:t>
            </w:r>
          </w:p>
          <w:p w14:paraId="6EDBAD6C">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注：提供上述人员的相关证书、2023年1月份以来任意一个月供应商为上述服务团队人员在服务机构购买社保的社保凭证复印件并加盖供应商单位公章，不提供不得分。</w:t>
            </w:r>
          </w:p>
        </w:tc>
      </w:tr>
      <w:tr w14:paraId="5A1268F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004"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59AFC23">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5</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BA97FB5">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开评标场地</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0E94E4">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8</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5B5E7C6">
            <w:pPr>
              <w:snapToGrid w:val="0"/>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代理机构的办公场地、开评标场地服务环境设置及服务半径比较。进行横向对比，在8-0之间评分。（需提供场地情况及图片）</w:t>
            </w:r>
          </w:p>
          <w:p w14:paraId="5CE10A34">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注：根据代理机构在江门市范围内的工商注册的证明，以及场地的自有产权证明或租赁合同材料上的相关信息为依据。</w:t>
            </w:r>
          </w:p>
        </w:tc>
      </w:tr>
      <w:tr w14:paraId="53A3F269">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27"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661D098">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6</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BDF0CB1">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评标专家库</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531D65C">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35D6337">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代理机构具有自己管理的医疗卫生行业分类的专家信息库，得2分。</w:t>
            </w:r>
          </w:p>
        </w:tc>
      </w:tr>
    </w:tbl>
    <w:p w14:paraId="52F9F068">
      <w:pPr>
        <w:rPr>
          <w:color w:val="000000" w:themeColor="text1"/>
        </w:rPr>
      </w:pPr>
    </w:p>
    <w:tbl>
      <w:tblPr>
        <w:tblStyle w:val="5"/>
        <w:tblpPr w:leftFromText="180" w:rightFromText="180" w:vertAnchor="text" w:horzAnchor="page" w:tblpXSpec="center" w:tblpY="333"/>
        <w:tblOverlap w:val="never"/>
        <w:tblW w:w="10295"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autofit"/>
        <w:tblCellMar>
          <w:top w:w="0" w:type="dxa"/>
          <w:left w:w="0" w:type="dxa"/>
          <w:bottom w:w="0" w:type="dxa"/>
          <w:right w:w="0" w:type="dxa"/>
        </w:tblCellMar>
      </w:tblPr>
      <w:tblGrid>
        <w:gridCol w:w="930"/>
        <w:gridCol w:w="1865"/>
        <w:gridCol w:w="1118"/>
        <w:gridCol w:w="6382"/>
      </w:tblGrid>
      <w:tr w14:paraId="7178B79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725" w:hRule="atLeast"/>
          <w:jc w:val="center"/>
        </w:trPr>
        <w:tc>
          <w:tcPr>
            <w:tcW w:w="93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3BB944A">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序号</w:t>
            </w:r>
          </w:p>
        </w:tc>
        <w:tc>
          <w:tcPr>
            <w:tcW w:w="186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96D8A9C">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评审项目</w:t>
            </w:r>
          </w:p>
        </w:tc>
        <w:tc>
          <w:tcPr>
            <w:tcW w:w="1118"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63B3B5">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分值</w:t>
            </w:r>
          </w:p>
        </w:tc>
        <w:tc>
          <w:tcPr>
            <w:tcW w:w="6382"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63E721A">
            <w:pPr>
              <w:widowControl/>
              <w:spacing w:line="360" w:lineRule="atLeast"/>
              <w:jc w:val="center"/>
              <w:rPr>
                <w:rFonts w:hint="eastAsia" w:ascii="仿宋" w:hAnsi="仿宋" w:eastAsia="仿宋" w:cs="仿宋"/>
                <w:b/>
                <w:bCs/>
                <w:color w:val="000000" w:themeColor="text1"/>
                <w:kern w:val="0"/>
                <w:sz w:val="24"/>
                <w:szCs w:val="24"/>
              </w:rPr>
            </w:pPr>
            <w:r>
              <w:rPr>
                <w:rFonts w:hint="eastAsia" w:ascii="仿宋" w:hAnsi="仿宋" w:eastAsia="仿宋" w:cs="仿宋"/>
                <w:b/>
                <w:bCs/>
                <w:color w:val="000000" w:themeColor="text1"/>
                <w:kern w:val="0"/>
                <w:sz w:val="24"/>
                <w:szCs w:val="24"/>
              </w:rPr>
              <w:t>评审细则</w:t>
            </w:r>
          </w:p>
        </w:tc>
      </w:tr>
      <w:tr w14:paraId="1B656FC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2149" w:hRule="atLeast"/>
          <w:jc w:val="center"/>
        </w:trPr>
        <w:tc>
          <w:tcPr>
            <w:tcW w:w="93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0DC00029">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7</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D81D3C1">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服务广东省内三甲医疗机构的数量</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6403EA8F">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8</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33AE7DB7">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202</w:t>
            </w:r>
            <w:r>
              <w:rPr>
                <w:rFonts w:hint="eastAsia" w:ascii="仿宋" w:hAnsi="仿宋" w:eastAsia="仿宋" w:cs="仿宋"/>
                <w:b w:val="0"/>
                <w:bCs w:val="0"/>
                <w:color w:val="000000" w:themeColor="text1"/>
                <w:kern w:val="0"/>
                <w:sz w:val="24"/>
                <w:szCs w:val="24"/>
                <w:lang w:val="en-US" w:eastAsia="zh-CN"/>
              </w:rPr>
              <w:t>3</w:t>
            </w:r>
            <w:r>
              <w:rPr>
                <w:rFonts w:hint="eastAsia" w:ascii="仿宋" w:hAnsi="仿宋" w:eastAsia="仿宋" w:cs="仿宋"/>
                <w:b w:val="0"/>
                <w:bCs w:val="0"/>
                <w:color w:val="000000" w:themeColor="text1"/>
                <w:kern w:val="0"/>
                <w:sz w:val="24"/>
                <w:szCs w:val="24"/>
              </w:rPr>
              <w:t>年1月1日至今，服务广东省内三甲医疗机构的数量：每有1家医院得1分，最高得5分；服务广东省内二甲医疗机构的数量：每有1家医院得0.5分，最高得3分。</w:t>
            </w:r>
          </w:p>
          <w:p w14:paraId="14E91639">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注：同一委托用户只需提供一个委托协议复印件，不提供不得分。</w:t>
            </w:r>
          </w:p>
        </w:tc>
      </w:tr>
      <w:tr w14:paraId="1C647ADC">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985" w:hRule="atLeast"/>
          <w:jc w:val="center"/>
        </w:trPr>
        <w:tc>
          <w:tcPr>
            <w:tcW w:w="930" w:type="dxa"/>
            <w:vMerge w:val="continue"/>
            <w:tcBorders>
              <w:top w:val="nil"/>
              <w:left w:val="single" w:color="auto" w:sz="6" w:space="0"/>
              <w:bottom w:val="single" w:color="auto" w:sz="6" w:space="0"/>
              <w:right w:val="single" w:color="auto" w:sz="6" w:space="0"/>
            </w:tcBorders>
            <w:shd w:val="clear" w:color="auto" w:fill="auto"/>
            <w:vAlign w:val="center"/>
          </w:tcPr>
          <w:p w14:paraId="466AEC8D">
            <w:pPr>
              <w:widowControl/>
              <w:jc w:val="left"/>
              <w:rPr>
                <w:rFonts w:hint="eastAsia" w:ascii="仿宋" w:hAnsi="仿宋" w:eastAsia="仿宋" w:cs="仿宋"/>
                <w:b w:val="0"/>
                <w:bCs w:val="0"/>
                <w:color w:val="000000" w:themeColor="text1"/>
                <w:kern w:val="0"/>
                <w:sz w:val="24"/>
                <w:szCs w:val="24"/>
              </w:rPr>
            </w:pP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3496272">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业绩能力</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4CB690A9">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25</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2F9DAE0">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202</w:t>
            </w:r>
            <w:r>
              <w:rPr>
                <w:rFonts w:hint="eastAsia" w:ascii="仿宋" w:hAnsi="仿宋" w:eastAsia="仿宋" w:cs="仿宋"/>
                <w:b w:val="0"/>
                <w:bCs w:val="0"/>
                <w:color w:val="000000" w:themeColor="text1"/>
                <w:kern w:val="0"/>
                <w:sz w:val="24"/>
                <w:szCs w:val="24"/>
                <w:lang w:val="en-US" w:eastAsia="zh-CN"/>
              </w:rPr>
              <w:t>3</w:t>
            </w:r>
            <w:r>
              <w:rPr>
                <w:rFonts w:hint="eastAsia" w:ascii="仿宋" w:hAnsi="仿宋" w:eastAsia="仿宋" w:cs="仿宋"/>
                <w:b w:val="0"/>
                <w:bCs w:val="0"/>
                <w:color w:val="000000" w:themeColor="text1"/>
                <w:kern w:val="0"/>
                <w:sz w:val="24"/>
                <w:szCs w:val="24"/>
              </w:rPr>
              <w:t>年1月1日至今，承接服务类、货物类、工程类业绩（招标采购代理业绩的数量和中标（成交）金额以其所代理项目的中标（成交）通知书为准，若中标通知书上未标明中标（成交）金额，则中标（成交）金额以合同或由业主出具的有效证明资料为准）：</w:t>
            </w:r>
          </w:p>
          <w:p w14:paraId="0D0BBF5D">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1.服务类：</w:t>
            </w:r>
          </w:p>
          <w:p w14:paraId="2C1B1622">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单个采购代理项目中标（成交）金额≥1000万元，每个得1分，最高4分；</w:t>
            </w:r>
          </w:p>
          <w:p w14:paraId="6ACDD32B">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单个采购代理项目中标（成交）金额小于1000万元但大于等于500万元，每个得1分，最高3分。</w:t>
            </w:r>
          </w:p>
          <w:p w14:paraId="04A2CA34">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2.货物类：</w:t>
            </w:r>
          </w:p>
          <w:p w14:paraId="4C0375EC">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单个采购代理项目中标（成交）金额≥1000万元，每个得1分，最高3分；</w:t>
            </w:r>
          </w:p>
          <w:p w14:paraId="4CAD915F">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单个采购代理项目中标（成交）金额小于1000万元但大于等于500万元，每个得1分，最高3分；</w:t>
            </w:r>
          </w:p>
          <w:p w14:paraId="79CC6484">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单个采购代理项目中标（成交）金额小于500万元，大于等于200万元，每个得1分，最高3分。</w:t>
            </w:r>
          </w:p>
          <w:p w14:paraId="06A797C0">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3.工程类：</w:t>
            </w:r>
          </w:p>
          <w:p w14:paraId="55010238">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单个采购代理项目中标（成交）金额≥1000万元，每个得1分，最高2分；</w:t>
            </w:r>
          </w:p>
          <w:p w14:paraId="5109584C">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单个招标（成交）代理项目中标（成交）金额小于1000万元但大于等于500万元，每个得1分，最高2分。</w:t>
            </w:r>
          </w:p>
          <w:p w14:paraId="0027ABD7">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4.上述承接的招标采购代理业绩中，属于医疗卫生体系项目招标（采购）的，每项加1分，最高得5分。</w:t>
            </w:r>
          </w:p>
        </w:tc>
      </w:tr>
      <w:tr w14:paraId="42DAC08F">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808" w:hRule="atLeast"/>
          <w:jc w:val="center"/>
        </w:trPr>
        <w:tc>
          <w:tcPr>
            <w:tcW w:w="930"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E85E0FA">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8</w:t>
            </w:r>
          </w:p>
        </w:tc>
        <w:tc>
          <w:tcPr>
            <w:tcW w:w="186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5C6CA83A">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价格</w:t>
            </w:r>
          </w:p>
        </w:tc>
        <w:tc>
          <w:tcPr>
            <w:tcW w:w="111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14A6DF64">
            <w:pPr>
              <w:widowControl/>
              <w:spacing w:line="360" w:lineRule="atLeast"/>
              <w:jc w:val="center"/>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12</w:t>
            </w:r>
          </w:p>
        </w:tc>
        <w:tc>
          <w:tcPr>
            <w:tcW w:w="6382"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14:paraId="79D4BCBC">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1.参照原国家计委《招标代理服务收费管理暂行办法》[2002（1980号)]文件，招标代理服务收费上下浮动幅度不超过20％。每下浮1%（最小下浮单位是1%），得0.5分，本项最高得10分。</w:t>
            </w:r>
          </w:p>
          <w:p w14:paraId="0A17906E">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2.单个项目最低收费标准为5000元，得2分。每上升1%（最小上升单位是1%），扣1分，最多扣2分。</w:t>
            </w:r>
          </w:p>
          <w:p w14:paraId="004DB194">
            <w:pPr>
              <w:widowControl/>
              <w:spacing w:line="360" w:lineRule="atLeast"/>
              <w:jc w:val="left"/>
              <w:rPr>
                <w:rFonts w:hint="eastAsia" w:ascii="仿宋" w:hAnsi="仿宋" w:eastAsia="仿宋" w:cs="仿宋"/>
                <w:b w:val="0"/>
                <w:bCs w:val="0"/>
                <w:color w:val="000000" w:themeColor="text1"/>
                <w:kern w:val="0"/>
                <w:sz w:val="24"/>
                <w:szCs w:val="24"/>
              </w:rPr>
            </w:pPr>
            <w:r>
              <w:rPr>
                <w:rFonts w:hint="eastAsia" w:ascii="仿宋" w:hAnsi="仿宋" w:eastAsia="仿宋" w:cs="仿宋"/>
                <w:b w:val="0"/>
                <w:bCs w:val="0"/>
                <w:color w:val="000000" w:themeColor="text1"/>
                <w:kern w:val="0"/>
                <w:sz w:val="24"/>
                <w:szCs w:val="24"/>
              </w:rPr>
              <w:t>注：精确到小数点后两位。</w:t>
            </w:r>
          </w:p>
        </w:tc>
      </w:tr>
    </w:tbl>
    <w:p w14:paraId="5F47C04D">
      <w:pPr>
        <w:rPr>
          <w:color w:val="000000" w:themeColor="text1"/>
        </w:rPr>
      </w:pPr>
    </w:p>
    <w:sectPr>
      <w:pgSz w:w="11906" w:h="16838"/>
      <w:pgMar w:top="873" w:right="1179" w:bottom="816" w:left="117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0MWYxMjQ0NDAwMzAwYTY0NjViOTM1YWI5NmU5YTcifQ=="/>
  </w:docVars>
  <w:rsids>
    <w:rsidRoot w:val="00E41BFA"/>
    <w:rsid w:val="00183917"/>
    <w:rsid w:val="001965AE"/>
    <w:rsid w:val="001D1E5A"/>
    <w:rsid w:val="00220A45"/>
    <w:rsid w:val="00234DFC"/>
    <w:rsid w:val="00255AB7"/>
    <w:rsid w:val="002702E5"/>
    <w:rsid w:val="003D22EE"/>
    <w:rsid w:val="003E24C0"/>
    <w:rsid w:val="00404111"/>
    <w:rsid w:val="004106C2"/>
    <w:rsid w:val="004C194F"/>
    <w:rsid w:val="005E0686"/>
    <w:rsid w:val="00613AC5"/>
    <w:rsid w:val="006E7263"/>
    <w:rsid w:val="007A5475"/>
    <w:rsid w:val="007B04F4"/>
    <w:rsid w:val="008B1000"/>
    <w:rsid w:val="00916575"/>
    <w:rsid w:val="009502C0"/>
    <w:rsid w:val="009940D1"/>
    <w:rsid w:val="00A83826"/>
    <w:rsid w:val="00BE4515"/>
    <w:rsid w:val="00C23E33"/>
    <w:rsid w:val="00E04A33"/>
    <w:rsid w:val="00E41BFA"/>
    <w:rsid w:val="00E467AA"/>
    <w:rsid w:val="00F10CD8"/>
    <w:rsid w:val="00F13C13"/>
    <w:rsid w:val="01B85BF8"/>
    <w:rsid w:val="03BD3009"/>
    <w:rsid w:val="084C0CD4"/>
    <w:rsid w:val="0F115C05"/>
    <w:rsid w:val="118A5324"/>
    <w:rsid w:val="14CF0DEE"/>
    <w:rsid w:val="150360C6"/>
    <w:rsid w:val="15AA78D9"/>
    <w:rsid w:val="1CE3550F"/>
    <w:rsid w:val="1EDA5A5E"/>
    <w:rsid w:val="29EA3E3E"/>
    <w:rsid w:val="2A5070C2"/>
    <w:rsid w:val="2EC628D3"/>
    <w:rsid w:val="34BD67F7"/>
    <w:rsid w:val="351C000D"/>
    <w:rsid w:val="356B4AF0"/>
    <w:rsid w:val="362C2F13"/>
    <w:rsid w:val="377558C0"/>
    <w:rsid w:val="379811E8"/>
    <w:rsid w:val="386071EE"/>
    <w:rsid w:val="39C439A0"/>
    <w:rsid w:val="417A2049"/>
    <w:rsid w:val="43F84EA0"/>
    <w:rsid w:val="456569B8"/>
    <w:rsid w:val="4A535A59"/>
    <w:rsid w:val="4BA44460"/>
    <w:rsid w:val="5016131E"/>
    <w:rsid w:val="52393747"/>
    <w:rsid w:val="53900140"/>
    <w:rsid w:val="5A643449"/>
    <w:rsid w:val="60FD694A"/>
    <w:rsid w:val="632550A5"/>
    <w:rsid w:val="64836BD5"/>
    <w:rsid w:val="64E9279B"/>
    <w:rsid w:val="65892069"/>
    <w:rsid w:val="681A0A5F"/>
    <w:rsid w:val="725467C4"/>
    <w:rsid w:val="763B70F5"/>
    <w:rsid w:val="79307069"/>
    <w:rsid w:val="79AD2EDE"/>
    <w:rsid w:val="7A9E63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1460</Words>
  <Characters>1574</Characters>
  <Lines>11</Lines>
  <Paragraphs>3</Paragraphs>
  <TotalTime>4249</TotalTime>
  <ScaleCrop>false</ScaleCrop>
  <LinksUpToDate>false</LinksUpToDate>
  <CharactersWithSpaces>1574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2022-10-10T02:15:00Z</dcterms:created>
  <dc:creator>guoyc</dc:creator>
  <cp:lastModifiedBy>Administrator</cp:lastModifiedBy>
  <dcterms:modified xsi:type="dcterms:W3CDTF">2026-04-09T08:30:25Z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20CD0206B67042FBA0D59FC8D280C298</vt:lpwstr>
  </property>
  <property fmtid="{D5CDD505-2E9C-101B-9397-08002B2CF9AE}" pid="4" name="KSOTemplateDocerSaveRecord">
    <vt:lpwstr>eyJoZGlkIjoiMWM4NDQ2ZTI4OTAwMmQyOWY1NjRlMjgyZGZkMWM2ZjAiLCJ1c2VySWQiOiIzMjUxOTI4ODgifQ==</vt:lpwstr>
  </property>
</Properties>
</file>